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29" w:rsidRPr="000E4071" w:rsidRDefault="00501D29" w:rsidP="00501D29">
      <w:pPr>
        <w:jc w:val="right"/>
        <w:rPr>
          <w:rStyle w:val="spelle"/>
          <w:b w:val="0"/>
          <w:caps w:val="0"/>
        </w:rPr>
      </w:pPr>
      <w:bookmarkStart w:id="0" w:name="_Toc339920970"/>
      <w:bookmarkStart w:id="1" w:name="_Toc339956407"/>
    </w:p>
    <w:p w:rsidR="00501D29" w:rsidRPr="000E4071" w:rsidRDefault="00501D29" w:rsidP="00501D29">
      <w:pPr>
        <w:jc w:val="center"/>
        <w:rPr>
          <w:rStyle w:val="spelle"/>
          <w:b w:val="0"/>
          <w:caps w:val="0"/>
        </w:rPr>
      </w:pPr>
      <w:r w:rsidRPr="000E4071">
        <w:rPr>
          <w:rFonts w:asciiTheme="minorHAnsi" w:hAnsiTheme="minorHAnsi"/>
          <w:b/>
          <w:caps/>
          <w:noProof/>
          <w:sz w:val="22"/>
          <w:szCs w:val="22"/>
        </w:rPr>
        <w:drawing>
          <wp:inline distT="0" distB="0" distL="0" distR="0" wp14:anchorId="13541C64" wp14:editId="1CD1DCDB">
            <wp:extent cx="1285875" cy="820738"/>
            <wp:effectExtent l="19050" t="0" r="9525" b="0"/>
            <wp:docPr id="1" name="Picture 1" descr="IZM_logo"/>
            <wp:cNvGraphicFramePr/>
            <a:graphic xmlns:a="http://schemas.openxmlformats.org/drawingml/2006/main">
              <a:graphicData uri="http://schemas.openxmlformats.org/drawingml/2006/picture">
                <pic:pic xmlns:pic="http://schemas.openxmlformats.org/drawingml/2006/picture">
                  <pic:nvPicPr>
                    <pic:cNvPr id="2052" name="Picture 2" descr="IZM_logo"/>
                    <pic:cNvPicPr>
                      <a:picLocks noChangeAspect="1" noChangeArrowheads="1"/>
                    </pic:cNvPicPr>
                  </pic:nvPicPr>
                  <pic:blipFill>
                    <a:blip r:embed="rId9" cstate="print"/>
                    <a:srcRect/>
                    <a:stretch>
                      <a:fillRect/>
                    </a:stretch>
                  </pic:blipFill>
                  <pic:spPr bwMode="auto">
                    <a:xfrm>
                      <a:off x="0" y="0"/>
                      <a:ext cx="1285875" cy="820738"/>
                    </a:xfrm>
                    <a:prstGeom prst="rect">
                      <a:avLst/>
                    </a:prstGeom>
                    <a:noFill/>
                    <a:ln w="9525">
                      <a:noFill/>
                      <a:miter lim="800000"/>
                      <a:headEnd/>
                      <a:tailEnd/>
                    </a:ln>
                  </pic:spPr>
                </pic:pic>
              </a:graphicData>
            </a:graphic>
          </wp:inline>
        </w:drawing>
      </w:r>
    </w:p>
    <w:p w:rsidR="00501D29" w:rsidRPr="000E4071" w:rsidRDefault="00501D29" w:rsidP="00501D29">
      <w:pPr>
        <w:jc w:val="right"/>
        <w:rPr>
          <w:rStyle w:val="spelle"/>
          <w:b w:val="0"/>
          <w:caps w:val="0"/>
        </w:rPr>
      </w:pPr>
    </w:p>
    <w:p w:rsidR="00501D29" w:rsidRPr="000E4071" w:rsidRDefault="00501D29" w:rsidP="00501D29">
      <w:pPr>
        <w:jc w:val="right"/>
        <w:rPr>
          <w:rStyle w:val="spelle"/>
          <w:b w:val="0"/>
          <w:caps w:val="0"/>
        </w:rPr>
      </w:pPr>
    </w:p>
    <w:p w:rsidR="00501D29" w:rsidRPr="000E4071" w:rsidRDefault="00501D29" w:rsidP="00501D29">
      <w:pPr>
        <w:jc w:val="center"/>
        <w:rPr>
          <w:rStyle w:val="spelle"/>
          <w:b w:val="0"/>
          <w:caps w:val="0"/>
        </w:rPr>
      </w:pPr>
    </w:p>
    <w:p w:rsidR="00501D29" w:rsidRPr="000E4071" w:rsidRDefault="00501D29" w:rsidP="00501D29"/>
    <w:p w:rsidR="00501D29" w:rsidRPr="000E4071" w:rsidRDefault="00501D29" w:rsidP="00501D29"/>
    <w:p w:rsidR="00501D29" w:rsidRPr="000E4071" w:rsidRDefault="00501D29" w:rsidP="00501D29"/>
    <w:p w:rsidR="00501D29" w:rsidRPr="000E4071" w:rsidRDefault="00501D29" w:rsidP="00501D29"/>
    <w:p w:rsidR="00501D29" w:rsidRPr="000E4071" w:rsidRDefault="00501D29" w:rsidP="00501D29"/>
    <w:p w:rsidR="00501D29" w:rsidRPr="000E4071" w:rsidRDefault="00501D29" w:rsidP="00501D29"/>
    <w:p w:rsidR="00501D29" w:rsidRPr="000E4071" w:rsidRDefault="00501D29" w:rsidP="00501D29">
      <w:pPr>
        <w:rPr>
          <w:sz w:val="36"/>
          <w:szCs w:val="36"/>
        </w:rPr>
      </w:pPr>
    </w:p>
    <w:p w:rsidR="00501D29" w:rsidRDefault="00501D29" w:rsidP="00501D29">
      <w:pPr>
        <w:jc w:val="center"/>
        <w:rPr>
          <w:b/>
          <w:color w:val="4F81BD" w:themeColor="accent1"/>
          <w:sz w:val="36"/>
          <w:szCs w:val="36"/>
        </w:rPr>
      </w:pPr>
      <w:r w:rsidRPr="000E4071">
        <w:rPr>
          <w:b/>
          <w:color w:val="4F81BD" w:themeColor="accent1"/>
          <w:sz w:val="36"/>
          <w:szCs w:val="36"/>
        </w:rPr>
        <w:t>AUGSTĀK</w:t>
      </w:r>
      <w:r>
        <w:rPr>
          <w:b/>
          <w:color w:val="4F81BD" w:themeColor="accent1"/>
          <w:sz w:val="36"/>
          <w:szCs w:val="36"/>
        </w:rPr>
        <w:t>ĀS IZGLĪTĪBAS STUDIJU PROGRAMMU</w:t>
      </w:r>
    </w:p>
    <w:p w:rsidR="00501D29" w:rsidRPr="000E4071" w:rsidRDefault="00501D29" w:rsidP="00501D29">
      <w:pPr>
        <w:jc w:val="center"/>
        <w:rPr>
          <w:b/>
          <w:color w:val="4F81BD" w:themeColor="accent1"/>
          <w:sz w:val="36"/>
          <w:szCs w:val="36"/>
        </w:rPr>
      </w:pPr>
      <w:r>
        <w:rPr>
          <w:b/>
          <w:color w:val="4F81BD" w:themeColor="accent1"/>
          <w:sz w:val="36"/>
          <w:szCs w:val="36"/>
        </w:rPr>
        <w:t>VĒRTĒŠANAS KRITĒRIJI UN SADALĪJUMS PA GRUPĀM</w:t>
      </w:r>
    </w:p>
    <w:p w:rsidR="00501D29" w:rsidRPr="000E4071" w:rsidRDefault="00501D29" w:rsidP="00501D29">
      <w:pPr>
        <w:rPr>
          <w:sz w:val="36"/>
          <w:szCs w:val="36"/>
        </w:rPr>
      </w:pPr>
    </w:p>
    <w:p w:rsidR="00501D29" w:rsidRPr="000E4071" w:rsidRDefault="00501D29" w:rsidP="00501D29">
      <w:pPr>
        <w:rPr>
          <w:sz w:val="36"/>
          <w:szCs w:val="36"/>
        </w:rPr>
      </w:pPr>
    </w:p>
    <w:p w:rsidR="00501D29" w:rsidRPr="000E4071" w:rsidRDefault="00501D29" w:rsidP="00501D29">
      <w:pPr>
        <w:spacing w:after="200" w:line="276" w:lineRule="auto"/>
        <w:jc w:val="center"/>
        <w:rPr>
          <w:rStyle w:val="spelle"/>
          <w:rFonts w:ascii="Times New Roman" w:hAnsi="Times New Roman"/>
          <w:b w:val="0"/>
          <w:caps w:val="0"/>
          <w:sz w:val="36"/>
          <w:szCs w:val="36"/>
        </w:rPr>
      </w:pPr>
    </w:p>
    <w:p w:rsidR="00501D29" w:rsidRPr="000E4071" w:rsidRDefault="00501D29" w:rsidP="00501D29">
      <w:pPr>
        <w:spacing w:after="200" w:line="276" w:lineRule="auto"/>
        <w:jc w:val="center"/>
        <w:rPr>
          <w:rStyle w:val="spelle"/>
          <w:rFonts w:ascii="Times New Roman" w:hAnsi="Times New Roman"/>
          <w:b w:val="0"/>
          <w:caps w:val="0"/>
          <w:sz w:val="36"/>
          <w:szCs w:val="36"/>
        </w:rPr>
      </w:pPr>
    </w:p>
    <w:p w:rsidR="00501D29" w:rsidRPr="000E4071" w:rsidRDefault="00501D29" w:rsidP="00501D29">
      <w:pPr>
        <w:spacing w:after="200" w:line="276" w:lineRule="auto"/>
        <w:jc w:val="center"/>
        <w:rPr>
          <w:rStyle w:val="spelle"/>
          <w:rFonts w:ascii="Times New Roman" w:hAnsi="Times New Roman"/>
          <w:b w:val="0"/>
          <w:caps w:val="0"/>
          <w:sz w:val="36"/>
          <w:szCs w:val="36"/>
        </w:rPr>
      </w:pPr>
    </w:p>
    <w:p w:rsidR="00501D29" w:rsidRPr="000E4071" w:rsidRDefault="00501D29" w:rsidP="00501D29">
      <w:pPr>
        <w:spacing w:after="200" w:line="276" w:lineRule="auto"/>
        <w:jc w:val="center"/>
        <w:rPr>
          <w:rStyle w:val="spelle"/>
          <w:rFonts w:ascii="Times New Roman" w:hAnsi="Times New Roman"/>
          <w:b w:val="0"/>
          <w:caps w:val="0"/>
          <w:sz w:val="36"/>
          <w:szCs w:val="36"/>
        </w:rPr>
      </w:pPr>
    </w:p>
    <w:p w:rsidR="00501D29" w:rsidRPr="000E4071" w:rsidRDefault="00501D29" w:rsidP="00501D29">
      <w:pPr>
        <w:spacing w:after="200" w:line="276" w:lineRule="auto"/>
        <w:jc w:val="center"/>
        <w:rPr>
          <w:rStyle w:val="spelle"/>
          <w:rFonts w:ascii="Times New Roman" w:hAnsi="Times New Roman"/>
          <w:b w:val="0"/>
          <w:caps w:val="0"/>
          <w:sz w:val="36"/>
          <w:szCs w:val="36"/>
        </w:rPr>
      </w:pPr>
      <w:r w:rsidRPr="000E4071">
        <w:rPr>
          <w:rStyle w:val="spelle"/>
          <w:rFonts w:ascii="Times New Roman" w:hAnsi="Times New Roman"/>
          <w:b w:val="0"/>
          <w:caps w:val="0"/>
          <w:sz w:val="36"/>
          <w:szCs w:val="36"/>
        </w:rPr>
        <w:t>INFORMATĪVAIS MATERIĀLS</w:t>
      </w:r>
    </w:p>
    <w:p w:rsidR="00501D29" w:rsidRPr="000E4071" w:rsidRDefault="00501D29" w:rsidP="00501D29">
      <w:pPr>
        <w:spacing w:after="200" w:line="276" w:lineRule="auto"/>
        <w:rPr>
          <w:rStyle w:val="spelle"/>
          <w:rFonts w:ascii="Times New Roman" w:hAnsi="Times New Roman"/>
          <w:b w:val="0"/>
          <w:caps w:val="0"/>
          <w:sz w:val="36"/>
          <w:szCs w:val="36"/>
        </w:rPr>
      </w:pPr>
    </w:p>
    <w:p w:rsidR="00501D29" w:rsidRPr="000E4071" w:rsidRDefault="00501D29" w:rsidP="00501D29">
      <w:pPr>
        <w:spacing w:after="200" w:line="276" w:lineRule="auto"/>
        <w:rPr>
          <w:rStyle w:val="spelle"/>
          <w:rFonts w:ascii="Times New Roman" w:hAnsi="Times New Roman"/>
          <w:b w:val="0"/>
          <w:caps w:val="0"/>
          <w:sz w:val="36"/>
          <w:szCs w:val="36"/>
        </w:rPr>
      </w:pPr>
    </w:p>
    <w:p w:rsidR="00501D29" w:rsidRPr="000E4071" w:rsidRDefault="00501D29" w:rsidP="00501D29">
      <w:pPr>
        <w:spacing w:after="200" w:line="276" w:lineRule="auto"/>
        <w:rPr>
          <w:rStyle w:val="spelle"/>
          <w:b w:val="0"/>
          <w:caps w:val="0"/>
        </w:rPr>
      </w:pPr>
    </w:p>
    <w:p w:rsidR="00501D29" w:rsidRDefault="00501D29" w:rsidP="00501D29">
      <w:pPr>
        <w:pStyle w:val="Heading1"/>
        <w:jc w:val="center"/>
        <w:rPr>
          <w:rFonts w:ascii="Times New Roman" w:hAnsi="Times New Roman" w:cs="Times New Roman"/>
          <w:color w:val="auto"/>
          <w:sz w:val="26"/>
          <w:szCs w:val="26"/>
        </w:rPr>
      </w:pPr>
      <w:r w:rsidRPr="000E4071">
        <w:rPr>
          <w:rStyle w:val="spelle"/>
          <w:rFonts w:ascii="Times New Roman" w:hAnsi="Times New Roman"/>
          <w:sz w:val="24"/>
          <w:szCs w:val="24"/>
        </w:rPr>
        <w:t>2012.</w:t>
      </w:r>
    </w:p>
    <w:p w:rsidR="00501D29" w:rsidRDefault="00501D29">
      <w:pPr>
        <w:spacing w:after="200" w:line="276" w:lineRule="auto"/>
        <w:rPr>
          <w:rFonts w:eastAsiaTheme="majorEastAsia"/>
          <w:b/>
          <w:bCs/>
          <w:sz w:val="26"/>
          <w:szCs w:val="26"/>
        </w:rPr>
      </w:pPr>
      <w:r>
        <w:rPr>
          <w:sz w:val="26"/>
          <w:szCs w:val="26"/>
        </w:rPr>
        <w:br w:type="page"/>
      </w:r>
    </w:p>
    <w:p w:rsidR="00CC0590" w:rsidRPr="000E4071" w:rsidRDefault="00CC0590" w:rsidP="007C7377">
      <w:pPr>
        <w:pStyle w:val="Heading1"/>
        <w:rPr>
          <w:rFonts w:ascii="Times New Roman" w:hAnsi="Times New Roman" w:cs="Times New Roman"/>
          <w:color w:val="auto"/>
          <w:sz w:val="26"/>
          <w:szCs w:val="26"/>
        </w:rPr>
      </w:pPr>
      <w:r w:rsidRPr="000E4071">
        <w:rPr>
          <w:rFonts w:ascii="Times New Roman" w:hAnsi="Times New Roman" w:cs="Times New Roman"/>
          <w:color w:val="auto"/>
          <w:sz w:val="26"/>
          <w:szCs w:val="26"/>
        </w:rPr>
        <w:lastRenderedPageBreak/>
        <w:t>Metodoloģija</w:t>
      </w:r>
      <w:r w:rsidR="005B4A06" w:rsidRPr="000E4071">
        <w:rPr>
          <w:rFonts w:ascii="Times New Roman" w:hAnsi="Times New Roman" w:cs="Times New Roman"/>
          <w:color w:val="auto"/>
          <w:sz w:val="26"/>
          <w:szCs w:val="26"/>
        </w:rPr>
        <w:t xml:space="preserve"> studiju programmu sadalījumam grupās</w:t>
      </w:r>
      <w:bookmarkEnd w:id="0"/>
      <w:bookmarkEnd w:id="1"/>
    </w:p>
    <w:p w:rsidR="00CC0590" w:rsidRPr="000E4071" w:rsidRDefault="00CC0590" w:rsidP="009A5B98">
      <w:pPr>
        <w:jc w:val="both"/>
        <w:rPr>
          <w:szCs w:val="24"/>
        </w:rPr>
      </w:pPr>
    </w:p>
    <w:p w:rsidR="00F52579" w:rsidRPr="000E4071" w:rsidRDefault="00576AAD" w:rsidP="00024AFE">
      <w:pPr>
        <w:jc w:val="both"/>
        <w:rPr>
          <w:sz w:val="26"/>
          <w:szCs w:val="26"/>
        </w:rPr>
      </w:pPr>
      <w:r w:rsidRPr="000E4071">
        <w:rPr>
          <w:sz w:val="26"/>
          <w:szCs w:val="26"/>
        </w:rPr>
        <w:t xml:space="preserve">Lai veiktu </w:t>
      </w:r>
      <w:r w:rsidR="001B7A71" w:rsidRPr="000E4071">
        <w:rPr>
          <w:sz w:val="26"/>
          <w:szCs w:val="26"/>
        </w:rPr>
        <w:t>analīzi, v</w:t>
      </w:r>
      <w:r w:rsidR="00B471E9" w:rsidRPr="000E4071">
        <w:rPr>
          <w:sz w:val="26"/>
          <w:szCs w:val="26"/>
        </w:rPr>
        <w:t>isas programmas</w:t>
      </w:r>
      <w:r w:rsidR="001B7A71" w:rsidRPr="000E4071">
        <w:rPr>
          <w:sz w:val="26"/>
          <w:szCs w:val="26"/>
        </w:rPr>
        <w:t xml:space="preserve"> tika</w:t>
      </w:r>
      <w:r w:rsidR="00B471E9" w:rsidRPr="000E4071">
        <w:rPr>
          <w:sz w:val="26"/>
          <w:szCs w:val="26"/>
        </w:rPr>
        <w:t xml:space="preserve"> sadalīt</w:t>
      </w:r>
      <w:r w:rsidR="00485864" w:rsidRPr="000E4071">
        <w:rPr>
          <w:sz w:val="26"/>
          <w:szCs w:val="26"/>
        </w:rPr>
        <w:t>as</w:t>
      </w:r>
      <w:r w:rsidR="00B471E9" w:rsidRPr="000E4071">
        <w:rPr>
          <w:sz w:val="26"/>
          <w:szCs w:val="26"/>
        </w:rPr>
        <w:t xml:space="preserve"> tipoloģiskās grupās</w:t>
      </w:r>
      <w:r w:rsidRPr="000E4071">
        <w:rPr>
          <w:sz w:val="26"/>
          <w:szCs w:val="26"/>
        </w:rPr>
        <w:t>,</w:t>
      </w:r>
      <w:r w:rsidR="00B471E9" w:rsidRPr="000E4071">
        <w:rPr>
          <w:sz w:val="26"/>
          <w:szCs w:val="26"/>
        </w:rPr>
        <w:t xml:space="preserve"> un </w:t>
      </w:r>
      <w:r w:rsidR="00485864" w:rsidRPr="000E4071">
        <w:rPr>
          <w:sz w:val="26"/>
          <w:szCs w:val="26"/>
        </w:rPr>
        <w:t xml:space="preserve">katrai no grupām </w:t>
      </w:r>
      <w:r w:rsidR="001B7A71" w:rsidRPr="000E4071">
        <w:rPr>
          <w:sz w:val="26"/>
          <w:szCs w:val="26"/>
        </w:rPr>
        <w:t xml:space="preserve">no visiem studiju programmu novērtēšanā izmantotajiem 62 kritērijiem tika </w:t>
      </w:r>
      <w:r w:rsidR="00485864" w:rsidRPr="000E4071">
        <w:rPr>
          <w:sz w:val="26"/>
          <w:szCs w:val="26"/>
        </w:rPr>
        <w:t>izdalīti tieši šai grupai būtiskākie kritēriji</w:t>
      </w:r>
      <w:r w:rsidR="00AA09D5" w:rsidRPr="000E4071">
        <w:rPr>
          <w:sz w:val="26"/>
          <w:szCs w:val="26"/>
        </w:rPr>
        <w:t xml:space="preserve"> – </w:t>
      </w:r>
      <w:r w:rsidR="00AA09D5" w:rsidRPr="000E4071">
        <w:rPr>
          <w:b/>
          <w:sz w:val="26"/>
          <w:szCs w:val="26"/>
        </w:rPr>
        <w:t>pamata kritēriji</w:t>
      </w:r>
      <w:r w:rsidR="001B7A71" w:rsidRPr="000E4071">
        <w:rPr>
          <w:sz w:val="26"/>
          <w:szCs w:val="26"/>
        </w:rPr>
        <w:t>. Šādas p</w:t>
      </w:r>
      <w:r w:rsidR="00520BEE" w:rsidRPr="000E4071">
        <w:rPr>
          <w:sz w:val="26"/>
          <w:szCs w:val="26"/>
        </w:rPr>
        <w:t>ieejas pamatā ir atziņa, ka katrai studiju programmu grupai ir atšķirīgi uzdevumi</w:t>
      </w:r>
      <w:r w:rsidR="00F52579" w:rsidRPr="000E4071">
        <w:rPr>
          <w:sz w:val="26"/>
          <w:szCs w:val="26"/>
        </w:rPr>
        <w:t>.</w:t>
      </w:r>
      <w:r w:rsidR="001B7A71" w:rsidRPr="000E4071">
        <w:rPr>
          <w:sz w:val="26"/>
          <w:szCs w:val="26"/>
        </w:rPr>
        <w:t xml:space="preserve"> Piemēram, doktora studiju programmā</w:t>
      </w:r>
      <w:r w:rsidR="00834691" w:rsidRPr="000E4071">
        <w:rPr>
          <w:sz w:val="26"/>
          <w:szCs w:val="26"/>
        </w:rPr>
        <w:t>s</w:t>
      </w:r>
      <w:r w:rsidR="001B7A71" w:rsidRPr="000E4071">
        <w:rPr>
          <w:sz w:val="26"/>
          <w:szCs w:val="26"/>
        </w:rPr>
        <w:t xml:space="preserve"> nozīmīgāki ir zinātnisko un pētniecisko darbību raksturojošie kritēriji, bet koledžas līmeņa studi</w:t>
      </w:r>
      <w:r w:rsidR="00834691" w:rsidRPr="000E4071">
        <w:rPr>
          <w:sz w:val="26"/>
          <w:szCs w:val="26"/>
        </w:rPr>
        <w:t xml:space="preserve">ju programmās lielāka nozīme ir kritērijiem, kas dod iespēju novērtēt programmas satura sasaisti ar darba tirgus prasībām.  </w:t>
      </w:r>
    </w:p>
    <w:p w:rsidR="009A5B98" w:rsidRPr="000E4071" w:rsidRDefault="00264CCF" w:rsidP="00024AFE">
      <w:pPr>
        <w:jc w:val="right"/>
        <w:rPr>
          <w:sz w:val="26"/>
          <w:szCs w:val="26"/>
        </w:rPr>
      </w:pPr>
      <w:r w:rsidRPr="000E4071">
        <w:rPr>
          <w:sz w:val="26"/>
          <w:szCs w:val="26"/>
        </w:rPr>
        <w:t>4.tabula</w:t>
      </w:r>
    </w:p>
    <w:p w:rsidR="00264CCF" w:rsidRDefault="00024AFE" w:rsidP="00024AFE">
      <w:pPr>
        <w:jc w:val="center"/>
        <w:rPr>
          <w:sz w:val="26"/>
          <w:szCs w:val="26"/>
        </w:rPr>
      </w:pPr>
      <w:r w:rsidRPr="000E4071">
        <w:rPr>
          <w:sz w:val="26"/>
          <w:szCs w:val="26"/>
        </w:rPr>
        <w:t>Studiju programmu novērtēšanas kvantitatīvie kritēriji un to izmantošana studiju tipoloģiskajās grupās</w:t>
      </w:r>
      <w:r w:rsidR="00B60F31" w:rsidRPr="000E4071">
        <w:rPr>
          <w:sz w:val="26"/>
          <w:szCs w:val="26"/>
        </w:rPr>
        <w:t xml:space="preserve"> (pamata kritēriji atzīmēti ar +)</w:t>
      </w:r>
    </w:p>
    <w:p w:rsidR="00501D29" w:rsidRPr="000E4071" w:rsidRDefault="00501D29" w:rsidP="00024AFE">
      <w:pPr>
        <w:jc w:val="center"/>
        <w:rPr>
          <w:sz w:val="26"/>
          <w:szCs w:val="26"/>
        </w:rPr>
      </w:pPr>
      <w:bookmarkStart w:id="2" w:name="_GoBack"/>
      <w:bookmarkEnd w:id="2"/>
    </w:p>
    <w:tbl>
      <w:tblPr>
        <w:tblW w:w="9759" w:type="dxa"/>
        <w:tblInd w:w="-295" w:type="dxa"/>
        <w:tblBorders>
          <w:insideH w:val="single" w:sz="4" w:space="0" w:color="auto"/>
          <w:insideV w:val="single" w:sz="4" w:space="0" w:color="auto"/>
        </w:tblBorders>
        <w:tblLayout w:type="fixed"/>
        <w:tblLook w:val="00A0" w:firstRow="1" w:lastRow="0" w:firstColumn="1" w:lastColumn="0" w:noHBand="0" w:noVBand="0"/>
      </w:tblPr>
      <w:tblGrid>
        <w:gridCol w:w="6640"/>
        <w:gridCol w:w="851"/>
        <w:gridCol w:w="850"/>
        <w:gridCol w:w="709"/>
        <w:gridCol w:w="709"/>
      </w:tblGrid>
      <w:tr w:rsidR="0010642F" w:rsidRPr="000E4071" w:rsidTr="00576AAD">
        <w:trPr>
          <w:trHeight w:val="60"/>
        </w:trPr>
        <w:tc>
          <w:tcPr>
            <w:tcW w:w="6640" w:type="dxa"/>
            <w:vMerge w:val="restart"/>
            <w:tcBorders>
              <w:top w:val="single" w:sz="4" w:space="0" w:color="auto"/>
              <w:bottom w:val="single" w:sz="4" w:space="0" w:color="auto"/>
            </w:tcBorders>
            <w:vAlign w:val="center"/>
          </w:tcPr>
          <w:p w:rsidR="0010642F" w:rsidRPr="000E4071" w:rsidRDefault="0010642F" w:rsidP="00B671B4">
            <w:pPr>
              <w:jc w:val="center"/>
              <w:rPr>
                <w:sz w:val="26"/>
                <w:szCs w:val="26"/>
              </w:rPr>
            </w:pPr>
            <w:r w:rsidRPr="000E4071">
              <w:rPr>
                <w:sz w:val="26"/>
                <w:szCs w:val="26"/>
              </w:rPr>
              <w:t>Kritēriji</w:t>
            </w:r>
          </w:p>
        </w:tc>
        <w:tc>
          <w:tcPr>
            <w:tcW w:w="3119" w:type="dxa"/>
            <w:gridSpan w:val="4"/>
            <w:tcBorders>
              <w:top w:val="single" w:sz="4" w:space="0" w:color="auto"/>
              <w:bottom w:val="single" w:sz="4" w:space="0" w:color="auto"/>
            </w:tcBorders>
          </w:tcPr>
          <w:p w:rsidR="0010642F" w:rsidRPr="000E4071" w:rsidRDefault="0010642F" w:rsidP="00B671B4">
            <w:pPr>
              <w:jc w:val="center"/>
              <w:rPr>
                <w:sz w:val="26"/>
                <w:szCs w:val="26"/>
              </w:rPr>
            </w:pPr>
            <w:r w:rsidRPr="000E4071">
              <w:rPr>
                <w:sz w:val="26"/>
                <w:szCs w:val="26"/>
              </w:rPr>
              <w:t>Studiju līmenis un tipoloģiskās grup</w:t>
            </w:r>
            <w:r w:rsidR="00B671B4" w:rsidRPr="000E4071">
              <w:rPr>
                <w:sz w:val="26"/>
                <w:szCs w:val="26"/>
              </w:rPr>
              <w:t>as</w:t>
            </w:r>
          </w:p>
        </w:tc>
      </w:tr>
      <w:tr w:rsidR="0010642F" w:rsidRPr="000E4071" w:rsidTr="00C33693">
        <w:trPr>
          <w:cantSplit/>
          <w:trHeight w:val="1580"/>
        </w:trPr>
        <w:tc>
          <w:tcPr>
            <w:tcW w:w="6640" w:type="dxa"/>
            <w:vMerge/>
            <w:tcBorders>
              <w:top w:val="single" w:sz="4" w:space="0" w:color="auto"/>
              <w:bottom w:val="single" w:sz="4" w:space="0" w:color="auto"/>
            </w:tcBorders>
          </w:tcPr>
          <w:p w:rsidR="0010642F" w:rsidRPr="000E4071" w:rsidRDefault="0010642F" w:rsidP="00B671B4">
            <w:pPr>
              <w:rPr>
                <w:sz w:val="26"/>
                <w:szCs w:val="26"/>
              </w:rPr>
            </w:pPr>
          </w:p>
        </w:tc>
        <w:tc>
          <w:tcPr>
            <w:tcW w:w="851" w:type="dxa"/>
            <w:tcBorders>
              <w:top w:val="single" w:sz="4" w:space="0" w:color="auto"/>
              <w:bottom w:val="single" w:sz="4" w:space="0" w:color="auto"/>
            </w:tcBorders>
            <w:textDirection w:val="btLr"/>
            <w:vAlign w:val="center"/>
          </w:tcPr>
          <w:p w:rsidR="0010642F" w:rsidRPr="000E4071" w:rsidRDefault="0010642F" w:rsidP="00576AAD">
            <w:pPr>
              <w:jc w:val="center"/>
              <w:rPr>
                <w:sz w:val="22"/>
                <w:szCs w:val="24"/>
              </w:rPr>
            </w:pPr>
            <w:r w:rsidRPr="000E4071">
              <w:rPr>
                <w:sz w:val="22"/>
                <w:szCs w:val="24"/>
              </w:rPr>
              <w:t>01. Īsa cikla (koledža)</w:t>
            </w:r>
          </w:p>
        </w:tc>
        <w:tc>
          <w:tcPr>
            <w:tcW w:w="850" w:type="dxa"/>
            <w:textDirection w:val="btLr"/>
            <w:vAlign w:val="center"/>
          </w:tcPr>
          <w:p w:rsidR="0010642F" w:rsidRPr="000E4071" w:rsidRDefault="0010642F" w:rsidP="00576AAD">
            <w:pPr>
              <w:jc w:val="center"/>
              <w:rPr>
                <w:sz w:val="22"/>
                <w:szCs w:val="24"/>
              </w:rPr>
            </w:pPr>
            <w:r w:rsidRPr="000E4071">
              <w:rPr>
                <w:sz w:val="22"/>
                <w:szCs w:val="24"/>
              </w:rPr>
              <w:t>02. Profesionālā (izņemot īsa cikla)</w:t>
            </w:r>
          </w:p>
        </w:tc>
        <w:tc>
          <w:tcPr>
            <w:tcW w:w="709" w:type="dxa"/>
            <w:textDirection w:val="btLr"/>
            <w:vAlign w:val="center"/>
          </w:tcPr>
          <w:p w:rsidR="0010642F" w:rsidRPr="000E4071" w:rsidRDefault="0010642F" w:rsidP="00576AAD">
            <w:pPr>
              <w:jc w:val="center"/>
              <w:rPr>
                <w:sz w:val="22"/>
                <w:szCs w:val="24"/>
              </w:rPr>
            </w:pPr>
            <w:r w:rsidRPr="000E4071">
              <w:rPr>
                <w:sz w:val="22"/>
                <w:szCs w:val="24"/>
              </w:rPr>
              <w:t>03. Akadēmiskā</w:t>
            </w:r>
          </w:p>
        </w:tc>
        <w:tc>
          <w:tcPr>
            <w:tcW w:w="709" w:type="dxa"/>
            <w:textDirection w:val="btLr"/>
            <w:vAlign w:val="center"/>
          </w:tcPr>
          <w:p w:rsidR="0010642F" w:rsidRPr="000E4071" w:rsidRDefault="0010642F" w:rsidP="00576AAD">
            <w:pPr>
              <w:jc w:val="center"/>
              <w:rPr>
                <w:sz w:val="22"/>
                <w:szCs w:val="24"/>
              </w:rPr>
            </w:pPr>
            <w:r w:rsidRPr="000E4071">
              <w:rPr>
                <w:sz w:val="22"/>
                <w:szCs w:val="24"/>
              </w:rPr>
              <w:t>04. Doktora studijas</w:t>
            </w:r>
          </w:p>
        </w:tc>
      </w:tr>
      <w:tr w:rsidR="0010642F" w:rsidRPr="000E4071" w:rsidTr="00576AAD">
        <w:trPr>
          <w:trHeight w:val="60"/>
        </w:trPr>
        <w:tc>
          <w:tcPr>
            <w:tcW w:w="6640" w:type="dxa"/>
            <w:tcBorders>
              <w:top w:val="single" w:sz="4" w:space="0" w:color="auto"/>
            </w:tcBorders>
          </w:tcPr>
          <w:p w:rsidR="0010642F" w:rsidRPr="000E4071" w:rsidRDefault="0010642F" w:rsidP="00D34C6A">
            <w:pPr>
              <w:jc w:val="both"/>
              <w:rPr>
                <w:sz w:val="26"/>
                <w:szCs w:val="26"/>
              </w:rPr>
            </w:pPr>
            <w:r w:rsidRPr="000E4071">
              <w:rPr>
                <w:sz w:val="26"/>
                <w:szCs w:val="26"/>
              </w:rPr>
              <w:t xml:space="preserve">K1 Studiju programmas mērķi, uzdevumi un studiju rezultāti ir skaidri, sasniedzami un pārbaudāmi un ir saskaņā ar AII izvirzītajiem mērķiem un uzdevumiem. </w:t>
            </w:r>
          </w:p>
        </w:tc>
        <w:tc>
          <w:tcPr>
            <w:tcW w:w="851" w:type="dxa"/>
            <w:tcBorders>
              <w:top w:val="single" w:sz="4" w:space="0" w:color="auto"/>
            </w:tcBorders>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K2 Studiju programmas saturs un iegūstamā kvalifikācija atbilst studiju programmas nosaukumam. </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K3 Studiju programmas īstenošanas gaitā studējošiem ir nodrošināta individuāla pieeja un atgriezeniskā saite.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 Prakse ir saistīta un saturiski atbilst teorētiskai daļai, studiju programmā ir iekļauta profesionālo iemaņu apgūšana. (Attiecas tikai uz profesionālajām studiju programmām).</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 Studiju programmai ir skaidra didaktiskā koncepcija, kurā ņemtas vērā studējošo vajadzības, tiek organizēti metodiskie pasākumi šīs koncepcijas pilnveidei.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K6 Tiek analizēti studējošo studiju rezultāti, akadēmiskais personāls tiek informēts par tiem.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K7 Studiju metodes ir mūsdienīgas, t.sk. ir pieejamas e-studijas (</w:t>
            </w:r>
            <w:proofErr w:type="spellStart"/>
            <w:r w:rsidRPr="000E4071">
              <w:rPr>
                <w:sz w:val="26"/>
                <w:szCs w:val="26"/>
              </w:rPr>
              <w:t>Moodle</w:t>
            </w:r>
            <w:proofErr w:type="spellEnd"/>
            <w:r w:rsidRPr="000E4071">
              <w:rPr>
                <w:sz w:val="26"/>
                <w:szCs w:val="26"/>
              </w:rPr>
              <w:t>, Web CT un/vai citas platformas).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K8 Studijās sagaidāmie rezultāti ir skaidri izklāstīti, praktiski tiek attīstītas arī problēmrisināšanas prasmes.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K9 Studējošo zināšanas, uzsākot studijas programmā un AII noteiktie studējošo atlases kritēriji ir pietiekami, lai sasniegtu plānotos studiju rezultātus paredzētajā kvalitātē un laikā.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K10 Tiek nodrošināta palīdzība un akadēmiskā personāla konsultācijas studējošiem, kā arī notiek starprezultātu </w:t>
            </w:r>
            <w:r w:rsidRPr="000E4071">
              <w:rPr>
                <w:sz w:val="26"/>
                <w:szCs w:val="26"/>
              </w:rPr>
              <w:lastRenderedPageBreak/>
              <w:t>pārbaude, lai studiju procesā nodrošinātu studiju programmas rezultātu sasniegšanu paredzētajā laikā un studēšanas motivācijas paaugstināšanu.</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lastRenderedPageBreak/>
              <w:t>K11 Studējošo sasniegumu vērtēšanas standarti, noteikumi un / vai prasības ir skaidras un pieejamas.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K12 Tiek ievēroti demokrātijas principi studiju programmas vadīšanā, ir skaidri noteiktas administratīvā, akadēmiskā personāla un studējošo savstarpējās attiecības. Studējošie ir iesaistīti lēmumu pieņemšanas procesā.</w:t>
            </w:r>
          </w:p>
        </w:tc>
        <w:tc>
          <w:tcPr>
            <w:tcW w:w="851" w:type="dxa"/>
            <w:vAlign w:val="center"/>
          </w:tcPr>
          <w:p w:rsidR="0010642F" w:rsidRPr="000E4071" w:rsidRDefault="0010642F" w:rsidP="005E0A96">
            <w:pPr>
              <w:tabs>
                <w:tab w:val="left" w:pos="-131"/>
              </w:tabs>
              <w:jc w:val="center"/>
              <w:rPr>
                <w:rFonts w:asciiTheme="minorHAnsi" w:hAnsiTheme="minorHAnsi"/>
                <w:b/>
                <w:sz w:val="26"/>
                <w:szCs w:val="26"/>
              </w:rPr>
            </w:pPr>
          </w:p>
        </w:tc>
        <w:tc>
          <w:tcPr>
            <w:tcW w:w="850" w:type="dxa"/>
            <w:vAlign w:val="center"/>
          </w:tcPr>
          <w:p w:rsidR="0010642F" w:rsidRPr="000E4071" w:rsidRDefault="0010642F" w:rsidP="005E0A96">
            <w:pPr>
              <w:tabs>
                <w:tab w:val="left" w:pos="-131"/>
              </w:tabs>
              <w:jc w:val="center"/>
              <w:rPr>
                <w:rFonts w:asciiTheme="minorHAnsi" w:hAnsiTheme="minorHAnsi"/>
                <w:b/>
                <w:sz w:val="26"/>
                <w:szCs w:val="26"/>
              </w:rPr>
            </w:pPr>
          </w:p>
        </w:tc>
        <w:tc>
          <w:tcPr>
            <w:tcW w:w="709" w:type="dxa"/>
            <w:vAlign w:val="center"/>
          </w:tcPr>
          <w:p w:rsidR="0010642F" w:rsidRPr="000E4071" w:rsidRDefault="0010642F" w:rsidP="005E0A96">
            <w:pPr>
              <w:tabs>
                <w:tab w:val="left" w:pos="-131"/>
              </w:tabs>
              <w:jc w:val="center"/>
              <w:rPr>
                <w:rFonts w:asciiTheme="minorHAnsi" w:hAnsiTheme="minorHAnsi"/>
                <w:b/>
                <w:sz w:val="26"/>
                <w:szCs w:val="26"/>
              </w:rPr>
            </w:pPr>
          </w:p>
        </w:tc>
        <w:tc>
          <w:tcPr>
            <w:tcW w:w="709" w:type="dxa"/>
            <w:vAlign w:val="center"/>
          </w:tcPr>
          <w:p w:rsidR="0010642F" w:rsidRPr="000E4071" w:rsidRDefault="0010642F" w:rsidP="005E0A96">
            <w:pPr>
              <w:tabs>
                <w:tab w:val="left" w:pos="-131"/>
              </w:tabs>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K13 Izveidoti konfliktu novēršanas, problēmu risināšanas un saskaņošanas mehānismi.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K14 Akadēmiskā personāla zinātniskās pētniecības (radošais) darbs ir saistīts ar docētajiem studiju kursiem.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K15 Studējošo zinātniskās pētniecības (radošais) darbs ir saistīts ar studiju programmas mērķiem.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K16 Akadēmiskais personāls un studējošie piedalās zinātniskās konferencēs un/vai radošās aktivitātēs.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K17 Ir nodrošināta studiju programmu sasaiste ar zinātniski pētniecisko (radošo) darbu (mācībspēku iesaiste attiecīgās jomas zinātniskās pētniecības </w:t>
            </w:r>
            <w:proofErr w:type="spellStart"/>
            <w:r w:rsidRPr="000E4071">
              <w:rPr>
                <w:sz w:val="26"/>
                <w:szCs w:val="26"/>
              </w:rPr>
              <w:t>grantos</w:t>
            </w:r>
            <w:proofErr w:type="spellEnd"/>
            <w:r w:rsidRPr="000E4071">
              <w:rPr>
                <w:sz w:val="26"/>
                <w:szCs w:val="26"/>
              </w:rPr>
              <w:t xml:space="preserve">, pētījumu programmās, AII/studiju programmas sasaiste ar Valsts nozīmes pētniecības centriem).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K18 Ir ieviesta iekšējā kvalitātes nodrošināšanas sistēma un tā atbilst ENQA izstrādāto Eiropas standartu un vadlīniju kvalitātes nodrošināšanai augstākajā izglītībā (ESG) prasībām.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K19 Absolventiem ir iespējas (nākotnes perspektīvas) veiksmīgi strādāt apgūtajā specialitātē vai atbilstoši iegūtajai kvalifikācijai. Ieinteresētās grupas (absolventi, darba devēji u.c.) apstiprina, ka tiek sasniegti programmas mērķi izglītošanā.</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K20 Studējošo, akadēmiskā personāla un iesaistīto grupu (darba devēju, profesionālo organizāciju u.c.) viedoklis par programmas resursu atbilstību studiju programmas izvirzītajiem mērķiem.</w:t>
            </w:r>
          </w:p>
        </w:tc>
        <w:tc>
          <w:tcPr>
            <w:tcW w:w="851" w:type="dxa"/>
            <w:vAlign w:val="center"/>
          </w:tcPr>
          <w:p w:rsidR="0010642F" w:rsidRPr="000E4071" w:rsidRDefault="0010642F" w:rsidP="005E0A96">
            <w:pPr>
              <w:tabs>
                <w:tab w:val="left" w:pos="0"/>
              </w:tabs>
              <w:jc w:val="center"/>
              <w:rPr>
                <w:rFonts w:asciiTheme="minorHAnsi" w:hAnsiTheme="minorHAnsi"/>
                <w:b/>
                <w:sz w:val="26"/>
                <w:szCs w:val="26"/>
              </w:rPr>
            </w:pPr>
          </w:p>
        </w:tc>
        <w:tc>
          <w:tcPr>
            <w:tcW w:w="850" w:type="dxa"/>
            <w:vAlign w:val="center"/>
          </w:tcPr>
          <w:p w:rsidR="0010642F" w:rsidRPr="000E4071" w:rsidRDefault="0010642F" w:rsidP="005E0A96">
            <w:pPr>
              <w:tabs>
                <w:tab w:val="left" w:pos="0"/>
              </w:tabs>
              <w:jc w:val="center"/>
              <w:rPr>
                <w:rFonts w:asciiTheme="minorHAnsi" w:hAnsiTheme="minorHAnsi"/>
                <w:b/>
                <w:sz w:val="26"/>
                <w:szCs w:val="26"/>
              </w:rPr>
            </w:pPr>
          </w:p>
        </w:tc>
        <w:tc>
          <w:tcPr>
            <w:tcW w:w="709" w:type="dxa"/>
            <w:vAlign w:val="center"/>
          </w:tcPr>
          <w:p w:rsidR="0010642F" w:rsidRPr="000E4071" w:rsidRDefault="0010642F" w:rsidP="005E0A96">
            <w:pPr>
              <w:tabs>
                <w:tab w:val="left" w:pos="0"/>
              </w:tabs>
              <w:jc w:val="center"/>
              <w:rPr>
                <w:rFonts w:asciiTheme="minorHAnsi" w:hAnsiTheme="minorHAnsi"/>
                <w:b/>
                <w:sz w:val="26"/>
                <w:szCs w:val="26"/>
              </w:rPr>
            </w:pPr>
          </w:p>
        </w:tc>
        <w:tc>
          <w:tcPr>
            <w:tcW w:w="709" w:type="dxa"/>
            <w:vAlign w:val="center"/>
          </w:tcPr>
          <w:p w:rsidR="0010642F" w:rsidRPr="000E4071" w:rsidRDefault="0010642F" w:rsidP="005E0A96">
            <w:pPr>
              <w:tabs>
                <w:tab w:val="left" w:pos="0"/>
              </w:tabs>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K21 Akadēmiskā personāla profesionalitāte atbilst studiju programmas saturam. </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K22 Ir izveidota mērķiem atbilstoša prakses organizācija un vadīšana, prakses uzdevumi ir skaidri formulēti, instrukcijas un norādījumi ir pieejami un tiek kontrolēti; praktisko darbu, laboratorijas darbu un semināru darba īpatsvars ir atbilstošs studiju programmas mērķiem (attiecināms uz profesionālajām studiju programmām).</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K23 Studiju nodrošinājums atbilst mūsdienu tehnoloģiju iespējām, tiek izmantoti datori, multimediji un internets.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K24 Administratīvā un tehniskā personāla atbalsts ir </w:t>
            </w:r>
            <w:r w:rsidRPr="000E4071">
              <w:rPr>
                <w:sz w:val="26"/>
                <w:szCs w:val="26"/>
              </w:rPr>
              <w:lastRenderedPageBreak/>
              <w:t>pietiekams, lai nodrošinātu studiju rezultātu sasniegšanu.</w:t>
            </w:r>
          </w:p>
        </w:tc>
        <w:tc>
          <w:tcPr>
            <w:tcW w:w="851" w:type="dxa"/>
            <w:vAlign w:val="center"/>
          </w:tcPr>
          <w:p w:rsidR="0010642F" w:rsidRPr="000E4071" w:rsidRDefault="0010642F" w:rsidP="005E0A96">
            <w:pPr>
              <w:tabs>
                <w:tab w:val="left" w:pos="3248"/>
              </w:tabs>
              <w:jc w:val="center"/>
              <w:rPr>
                <w:rFonts w:asciiTheme="minorHAnsi" w:hAnsiTheme="minorHAnsi"/>
                <w:b/>
                <w:sz w:val="26"/>
                <w:szCs w:val="26"/>
                <w:lang w:eastAsia="en-US"/>
              </w:rPr>
            </w:pPr>
          </w:p>
        </w:tc>
        <w:tc>
          <w:tcPr>
            <w:tcW w:w="850" w:type="dxa"/>
            <w:vAlign w:val="center"/>
          </w:tcPr>
          <w:p w:rsidR="0010642F" w:rsidRPr="000E4071" w:rsidRDefault="0010642F" w:rsidP="005E0A96">
            <w:pPr>
              <w:tabs>
                <w:tab w:val="left" w:pos="3248"/>
              </w:tabs>
              <w:jc w:val="center"/>
              <w:rPr>
                <w:rFonts w:asciiTheme="minorHAnsi" w:hAnsiTheme="minorHAnsi"/>
                <w:b/>
                <w:sz w:val="26"/>
                <w:szCs w:val="26"/>
                <w:lang w:eastAsia="en-US"/>
              </w:rPr>
            </w:pPr>
          </w:p>
        </w:tc>
        <w:tc>
          <w:tcPr>
            <w:tcW w:w="709" w:type="dxa"/>
            <w:vAlign w:val="center"/>
          </w:tcPr>
          <w:p w:rsidR="0010642F" w:rsidRPr="000E4071" w:rsidRDefault="0010642F" w:rsidP="005E0A96">
            <w:pPr>
              <w:tabs>
                <w:tab w:val="left" w:pos="3248"/>
              </w:tabs>
              <w:jc w:val="center"/>
              <w:rPr>
                <w:rFonts w:asciiTheme="minorHAnsi" w:hAnsiTheme="minorHAnsi"/>
                <w:b/>
                <w:sz w:val="26"/>
                <w:szCs w:val="26"/>
                <w:lang w:eastAsia="en-US"/>
              </w:rPr>
            </w:pPr>
          </w:p>
        </w:tc>
        <w:tc>
          <w:tcPr>
            <w:tcW w:w="709" w:type="dxa"/>
            <w:vAlign w:val="center"/>
          </w:tcPr>
          <w:p w:rsidR="0010642F" w:rsidRPr="000E4071" w:rsidRDefault="0010642F" w:rsidP="005E0A96">
            <w:pPr>
              <w:tabs>
                <w:tab w:val="left" w:pos="3248"/>
              </w:tabs>
              <w:jc w:val="center"/>
              <w:rPr>
                <w:rFonts w:asciiTheme="minorHAnsi" w:hAnsiTheme="minorHAnsi"/>
                <w:b/>
                <w:sz w:val="26"/>
                <w:szCs w:val="26"/>
                <w:lang w:eastAsia="en-US"/>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lastRenderedPageBreak/>
              <w:t>K25 Studiju programmas metodiskais, informatīvais un materiāltehniskais (t.sk. telpu aprīkojums, studiju vide, finansējums studējošo pašpārvaldei) nodrošinājums ir pietiekams un spēj nodrošināt efektīvu studiju procesu. Studējošiem ir iespējas studēt ārpus AII, ir pieejami e-studiju līdzekļi, akadēmiskais personāls ir pieejams ar informācijas un komunikāciju (IKT) tehnoloģiju palīdzību.</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K26 Bibliotēkas fondi, to aprīkojums un pakalpojumi nodrošina studiju rezultātu sasniegšanu un rada pozitīvu studiju vidi (t.sk. bibliotēkas fondu nodrošinājuma pieejamība svešvalodās).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K27 Ārvalstu studentiem un viesprofesoriem ir iespēja izmantot dienesta viesnīcas un citus AII pakalpojumus.        </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K28 Ir pieejama moderna zinātniskā vide, t.sk., piemēram, zinātniskā aparatūra, datori, audio/video līdzekļi, orgtehnika, telpu aprīkojums un datu bāzes.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K29 Finanšu resursi ir pietiekami studiju programmas īstenošanas nodrošināšanai.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K30 Finanšu resursu izmantošana tiek regulāri kontrolēta.</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K31 Studiju programmas mērķi saskan ar AII misiju un ir orientēti uz speciālistu sagatavošanu un attīstību. Studiju programmas nākotnes redzējums (vīzija) tiek īstenota, ņemot vērā studējošo, darba devēju, profesionālo organizāciju viedokli un reģionālās intereses.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K32 AII attīstība tiek regulāri plānota, t.sk. ir iestrādāta perspektīva finanšu programma, garantējot programmā iekļauto mērķu sasniegšanu un iespējamo risku (t.sk. demogrāfisko) pārvarēšanu. Ir attīstības programma kopā ar konkrētu rīcības plānu, kas virzīts ilgtspējas nodrošināšanai gan AII kopumā, gan attiecīgajam studiju virzienam.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K33 Studiju programmas saturs un īstenošana nodrošina studiju programmas ilgtspējīgu attīstību, atbilst četriem galvenajiem augstākās izglītības mērķiem (personības, demokrātiskas sabiedrības un zinātnes attīstības uzdevumu risināšana, darba tirgus prasību ievērošana).</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K34 Notiek regulāra akadēmiskā personāla kvalifikācijas paaugstināšana.</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K35 Notiek regulāra akadēmiskā personāla attīstības politikas plānošana un īstenošana, t.sk. atbilstoši reģiona vajadzībām.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K36 Ir noslēgti sadarbības līgumi (ar Latvijas un ārvalstu AII) par studiju programmu īstenošanu (izņemot līgumus par mobilitāti).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K37 Zināšanu, prasmju, attieksmju (studiju procesā iegūto spēju veikt noteiktus uzdevumus) novērtēšanas metodes ir </w:t>
            </w:r>
            <w:r w:rsidRPr="000E4071">
              <w:rPr>
                <w:sz w:val="26"/>
                <w:szCs w:val="26"/>
              </w:rPr>
              <w:lastRenderedPageBreak/>
              <w:t>objektīvas, saistītas ar studiju rezultātiem un darba tirgus mainīgajām prasībām.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lastRenderedPageBreak/>
              <w:t>K38 AII akadēmiskais, administratīvais personāls, studējošie, sociālie un sadarbības partneri ir iesaistīti kvalitātes vadības sistēmas pilnveidē, t.sk. studiju procesa un rezultātu izvērtēšanā.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K39 Izveidota un funkcionē efektīva studiju programmu pārvaldes sistēma.</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K40 Attīstības plāna izpildi analizē un analīzes rezultātus izmanto nākamā attīstības perioda plānošanā.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K41 Akadēmiskais personāls ir iesaistīts zinātniskās pētniecības (radošajā) darbā, zinātniskās pētniecības (radošo)</w:t>
            </w:r>
            <w:r w:rsidR="00D34C6A" w:rsidRPr="000E4071">
              <w:rPr>
                <w:sz w:val="26"/>
                <w:szCs w:val="26"/>
              </w:rPr>
              <w:t xml:space="preserve"> </w:t>
            </w:r>
            <w:r w:rsidRPr="000E4071">
              <w:rPr>
                <w:sz w:val="26"/>
                <w:szCs w:val="26"/>
              </w:rPr>
              <w:t>darbu tematika ir aktuāla, saistīta ar reģiona interesēm, ar studiju programmas saturu un nākotnes attīstību.</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K42 Pētniecības darba rezultātu publicēšana notiek starptautiski pieejamos un recenzējamos izdevumos (radošā darba rezultāti tiek publiskoti izstādēs, skatēs, koncertos, iestudējumos u.tml.); notiek zinātniskās pētniecības un radošā darba rezultātu praktiska izmantošana, iekļaujoties inovatīvā darbībā.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K43 Notiek ikgadējs studiju programmas stipro un vājo pušu izvērtējums, kā arī attīstības iespēju, akadēmisko resursu, materiāltehniskās bāzes, finanšu nodrošinājuma iekšējā pašnovērtēšana.</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K44 Ne retāk kā reizi gadā tiek nodrošināta  atgriezeniskā saite, ietverot studējošos, absolventus, akadēmisko un vispārējo personālu.</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b/>
                <w:sz w:val="26"/>
                <w:szCs w:val="26"/>
              </w:rPr>
              <w:t>K45</w:t>
            </w:r>
            <w:r w:rsidRPr="000E4071">
              <w:rPr>
                <w:sz w:val="26"/>
                <w:szCs w:val="26"/>
              </w:rPr>
              <w:t xml:space="preserve"> Ir nodrošinātas studiju turpināšanas iespējas un ir finansiālās garantijas studiju programmas likvidācijas, reorganizācijas vai citu izmaiņu gadījumā.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 xml:space="preserve">K46 Doktora studiju programmas (ja tiek īstenotas) ir saistītas ar atbilstošiem </w:t>
            </w:r>
            <w:proofErr w:type="spellStart"/>
            <w:r w:rsidRPr="000E4071">
              <w:rPr>
                <w:sz w:val="26"/>
                <w:szCs w:val="26"/>
              </w:rPr>
              <w:t>grantiem</w:t>
            </w:r>
            <w:proofErr w:type="spellEnd"/>
            <w:r w:rsidRPr="000E4071">
              <w:rPr>
                <w:sz w:val="26"/>
                <w:szCs w:val="26"/>
              </w:rPr>
              <w:t xml:space="preserve"> un/vai projektiem.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K47 Ir apspriestas un salīdzinātas attīstības tendences pēdējos 3 gados (studējošo un absolventu dinamika, absolventu nodarbinātība, akadēmiskā personāla kvalifikācija un vecuma struktūra, finanses, pētījumu rezultāti), ir izanalizētas atšķirības no citām līdzīgām studiju programmām reģionā.</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K48 Notiek AII / studiju programmas mācībspēku un studējošo sadarbība ar iepriekšējās pakāpes izglītības iestādēm (iesaiste skolēnu Zinātniski pētniecisko darbu sagatavošanā, pedagogu tālākizglītībā, potenciālo studējošo piesaistē u.c.</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K49 Studiju programmas mērķi un studiju rezultāti atšķiras no citu līdzīgu studiju programmu mērķiem un studiju rezultātiem esošajā AII vai atbilstošajā reģionā.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lastRenderedPageBreak/>
              <w:t>K50 Studējošiem ir iespējas apgūt atsevišķus moduļus, priekšmetus un/vai iziet praksi (pilnībā vai daļēji) citu Latvijas AII studiju programmās.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K51 Studējošiem ir iespējas apgūt atsevišķus moduļus, priekšmetus un/vai iziet praksi (pilnībā vai daļēji) citu ārvalstu AII studiju programmās, piemēram, ir sadarbības līgumi par kopīgu SP un / vai moduļu īstenošanu, par docētāju apmaiņu.</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K52 Studiju saturā ir īpaši izdalīti kursi, prakses un pētījumi, kas tiek piedāvāti un izmantoti apgūšanai citu Latvijas AII studiju programmu studējošiem.</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K53 Tiek veidota vai ir plānots veidot kopīgu programmu ar kādu no AII.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K54 Ir izstrādāti studējošo mobilitātes un ārvalstu studējošo piesaistīšanas plāni / projekti (t.sk. tiek veidota vai ir plānots veidot studiju programmu, sagatavoti moduļi, kursi, prakses un pētījumi ārvalstu studentiem angļu vai citā svešvalodā, tiek veikti reklāmas un cita veida pasākumi ārvalstu studentu piesaistīšanai), un ir noslēgti līgumi par studējošo un mācībspēku mobilitāti ar ārvalstu AII.</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K55 Tiek īstenoti vai ir plānoti studējošo un akadēmiskā personāla mobilitātes, kā arī ārvalstu studējošo un ārvalstu mācībspēku piesaistes projekti.</w:t>
            </w:r>
          </w:p>
        </w:tc>
        <w:tc>
          <w:tcPr>
            <w:tcW w:w="851"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850"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c>
          <w:tcPr>
            <w:tcW w:w="709" w:type="dxa"/>
            <w:vAlign w:val="center"/>
          </w:tcPr>
          <w:p w:rsidR="0010642F" w:rsidRPr="000E4071" w:rsidRDefault="0010642F" w:rsidP="005E0A96">
            <w:pPr>
              <w:jc w:val="center"/>
              <w:rPr>
                <w:rFonts w:asciiTheme="minorHAnsi" w:hAnsiTheme="minorHAnsi"/>
                <w:b/>
                <w:sz w:val="26"/>
                <w:szCs w:val="26"/>
              </w:rPr>
            </w:pPr>
            <w:r w:rsidRPr="000E4071">
              <w:rPr>
                <w:rFonts w:asciiTheme="minorHAnsi" w:hAnsiTheme="minorHAnsi"/>
                <w:b/>
                <w:sz w:val="26"/>
                <w:szCs w:val="26"/>
              </w:rPr>
              <w:t>+</w:t>
            </w: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K56 Akadēmiskā personāla angļu valodas vai citu svešvalodu zināšanas ir pietiekamā līmenī, lai varētu sagatavot un īstenot studiju programmu svešvalodā.</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K57 Tiek īstenoti speciāli kursi, semināri vai citi pasākumi, t.sk. skaitā angļu valodas kursi akadēmiskajam personālam, kurš pasniedz lekcijas ārvalstu studentiem.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K58 Uz laiku AII darbā iesaistītie mācībspēki no citām organizācijām Latvijā un ārzemēs (izņemot AII) piedalās AII metodiskajā un zinātniskajā darbā (t.sk. vasaras skolas)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K59 Studiju programmas darbības rezultātu iekšējā izvērtēšanā ir iesaistīts citu Latvijas un ārvalstu studiju programmu/AII akadēmiskais personāls.</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K60 AII un studiju programmas izveidotās partnerattiecības reģiona ietvaros un ārpus tām dod reālu ieguldījumu studiju rezultātu sasniegšanā, akadēmiskā personāla un studējošo mobilitātē.</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Pr>
          <w:p w:rsidR="0010642F" w:rsidRPr="000E4071" w:rsidRDefault="0010642F" w:rsidP="00D34C6A">
            <w:pPr>
              <w:jc w:val="both"/>
              <w:rPr>
                <w:sz w:val="26"/>
                <w:szCs w:val="26"/>
              </w:rPr>
            </w:pPr>
            <w:r w:rsidRPr="000E4071">
              <w:rPr>
                <w:sz w:val="26"/>
                <w:szCs w:val="26"/>
              </w:rPr>
              <w:t>K61 Ir nodrošinātas un tiek īstenotas iespējas veikt pētījumus (radošo darbu) kopā ar citu Latvijas un ārvalstu AII/studiju programmu studējošiem un akadēmisko personālu. Pētījumi ir saistīti ar atbilstošā reģiona attīstības uzdevumiem.</w:t>
            </w:r>
          </w:p>
        </w:tc>
        <w:tc>
          <w:tcPr>
            <w:tcW w:w="851" w:type="dxa"/>
            <w:vAlign w:val="center"/>
          </w:tcPr>
          <w:p w:rsidR="0010642F" w:rsidRPr="000E4071" w:rsidRDefault="0010642F" w:rsidP="005E0A96">
            <w:pPr>
              <w:jc w:val="center"/>
              <w:rPr>
                <w:rFonts w:asciiTheme="minorHAnsi" w:hAnsiTheme="minorHAnsi"/>
                <w:b/>
                <w:sz w:val="26"/>
                <w:szCs w:val="26"/>
              </w:rPr>
            </w:pPr>
          </w:p>
        </w:tc>
        <w:tc>
          <w:tcPr>
            <w:tcW w:w="850"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c>
          <w:tcPr>
            <w:tcW w:w="709" w:type="dxa"/>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Borders>
              <w:bottom w:val="single" w:sz="4" w:space="0" w:color="auto"/>
            </w:tcBorders>
          </w:tcPr>
          <w:p w:rsidR="0010642F" w:rsidRPr="000E4071" w:rsidRDefault="0010642F" w:rsidP="00D34C6A">
            <w:pPr>
              <w:jc w:val="both"/>
              <w:rPr>
                <w:sz w:val="26"/>
                <w:szCs w:val="26"/>
              </w:rPr>
            </w:pPr>
            <w:r w:rsidRPr="000E4071">
              <w:rPr>
                <w:sz w:val="26"/>
                <w:szCs w:val="26"/>
              </w:rPr>
              <w:t>K62 Studiju programmā iesaistītie mācībspēki piedalās citu studiju programmu un AII vērtēšanā un pilnveidošanā (kā eksperti un/vai kā viesprofesori).</w:t>
            </w:r>
          </w:p>
        </w:tc>
        <w:tc>
          <w:tcPr>
            <w:tcW w:w="851" w:type="dxa"/>
            <w:tcBorders>
              <w:bottom w:val="single" w:sz="4" w:space="0" w:color="auto"/>
            </w:tcBorders>
            <w:vAlign w:val="center"/>
          </w:tcPr>
          <w:p w:rsidR="0010642F" w:rsidRPr="000E4071" w:rsidRDefault="0010642F" w:rsidP="005E0A96">
            <w:pPr>
              <w:jc w:val="center"/>
              <w:rPr>
                <w:rFonts w:asciiTheme="minorHAnsi" w:hAnsiTheme="minorHAnsi"/>
                <w:b/>
                <w:sz w:val="26"/>
                <w:szCs w:val="26"/>
              </w:rPr>
            </w:pPr>
          </w:p>
        </w:tc>
        <w:tc>
          <w:tcPr>
            <w:tcW w:w="850" w:type="dxa"/>
            <w:tcBorders>
              <w:bottom w:val="single" w:sz="4" w:space="0" w:color="auto"/>
            </w:tcBorders>
            <w:vAlign w:val="center"/>
          </w:tcPr>
          <w:p w:rsidR="0010642F" w:rsidRPr="000E4071" w:rsidRDefault="0010642F" w:rsidP="005E0A96">
            <w:pPr>
              <w:jc w:val="center"/>
              <w:rPr>
                <w:rFonts w:asciiTheme="minorHAnsi" w:hAnsiTheme="minorHAnsi"/>
                <w:b/>
                <w:sz w:val="26"/>
                <w:szCs w:val="26"/>
              </w:rPr>
            </w:pPr>
          </w:p>
        </w:tc>
        <w:tc>
          <w:tcPr>
            <w:tcW w:w="709" w:type="dxa"/>
            <w:tcBorders>
              <w:bottom w:val="single" w:sz="4" w:space="0" w:color="auto"/>
            </w:tcBorders>
            <w:vAlign w:val="center"/>
          </w:tcPr>
          <w:p w:rsidR="0010642F" w:rsidRPr="000E4071" w:rsidRDefault="0010642F" w:rsidP="005E0A96">
            <w:pPr>
              <w:jc w:val="center"/>
              <w:rPr>
                <w:rFonts w:asciiTheme="minorHAnsi" w:hAnsiTheme="minorHAnsi"/>
                <w:b/>
                <w:sz w:val="26"/>
                <w:szCs w:val="26"/>
              </w:rPr>
            </w:pPr>
          </w:p>
        </w:tc>
        <w:tc>
          <w:tcPr>
            <w:tcW w:w="709" w:type="dxa"/>
            <w:tcBorders>
              <w:bottom w:val="single" w:sz="4" w:space="0" w:color="auto"/>
            </w:tcBorders>
            <w:vAlign w:val="center"/>
          </w:tcPr>
          <w:p w:rsidR="0010642F" w:rsidRPr="000E4071" w:rsidRDefault="0010642F" w:rsidP="005E0A96">
            <w:pPr>
              <w:jc w:val="center"/>
              <w:rPr>
                <w:rFonts w:asciiTheme="minorHAnsi" w:hAnsiTheme="minorHAnsi"/>
                <w:b/>
                <w:sz w:val="26"/>
                <w:szCs w:val="26"/>
              </w:rPr>
            </w:pPr>
          </w:p>
        </w:tc>
      </w:tr>
      <w:tr w:rsidR="0010642F" w:rsidRPr="000E4071" w:rsidTr="00576AAD">
        <w:trPr>
          <w:trHeight w:val="60"/>
        </w:trPr>
        <w:tc>
          <w:tcPr>
            <w:tcW w:w="6640" w:type="dxa"/>
            <w:tcBorders>
              <w:top w:val="single" w:sz="4" w:space="0" w:color="auto"/>
              <w:bottom w:val="single" w:sz="4" w:space="0" w:color="auto"/>
            </w:tcBorders>
          </w:tcPr>
          <w:p w:rsidR="0010642F" w:rsidRPr="000E4071" w:rsidRDefault="0010642F" w:rsidP="00B671B4">
            <w:pPr>
              <w:jc w:val="right"/>
              <w:rPr>
                <w:b/>
                <w:sz w:val="26"/>
                <w:szCs w:val="26"/>
              </w:rPr>
            </w:pPr>
            <w:r w:rsidRPr="000E4071">
              <w:rPr>
                <w:b/>
                <w:sz w:val="26"/>
                <w:szCs w:val="26"/>
              </w:rPr>
              <w:lastRenderedPageBreak/>
              <w:t>Pamata kritēriju skaits grupā</w:t>
            </w:r>
            <w:r w:rsidR="00322E5B" w:rsidRPr="000E4071">
              <w:rPr>
                <w:b/>
                <w:sz w:val="26"/>
                <w:szCs w:val="26"/>
              </w:rPr>
              <w:t xml:space="preserve"> (</w:t>
            </w:r>
            <w:proofErr w:type="spellStart"/>
            <w:r w:rsidR="00322E5B" w:rsidRPr="000E4071">
              <w:rPr>
                <w:b/>
                <w:sz w:val="26"/>
                <w:szCs w:val="26"/>
              </w:rPr>
              <w:t>Pn</w:t>
            </w:r>
            <w:proofErr w:type="spellEnd"/>
            <w:r w:rsidR="00322E5B" w:rsidRPr="000E4071">
              <w:rPr>
                <w:b/>
                <w:sz w:val="26"/>
                <w:szCs w:val="26"/>
              </w:rPr>
              <w:t>)</w:t>
            </w:r>
          </w:p>
        </w:tc>
        <w:tc>
          <w:tcPr>
            <w:tcW w:w="851" w:type="dxa"/>
            <w:tcBorders>
              <w:top w:val="single" w:sz="4" w:space="0" w:color="auto"/>
              <w:bottom w:val="single" w:sz="4" w:space="0" w:color="auto"/>
            </w:tcBorders>
            <w:vAlign w:val="center"/>
          </w:tcPr>
          <w:p w:rsidR="0010642F" w:rsidRPr="000E4071" w:rsidRDefault="0010642F" w:rsidP="00B671B4">
            <w:pPr>
              <w:jc w:val="center"/>
              <w:rPr>
                <w:b/>
                <w:sz w:val="26"/>
                <w:szCs w:val="26"/>
              </w:rPr>
            </w:pPr>
            <w:r w:rsidRPr="000E4071">
              <w:rPr>
                <w:b/>
                <w:sz w:val="26"/>
                <w:szCs w:val="26"/>
              </w:rPr>
              <w:t>10</w:t>
            </w:r>
          </w:p>
        </w:tc>
        <w:tc>
          <w:tcPr>
            <w:tcW w:w="850" w:type="dxa"/>
            <w:tcBorders>
              <w:top w:val="single" w:sz="4" w:space="0" w:color="auto"/>
              <w:bottom w:val="single" w:sz="4" w:space="0" w:color="auto"/>
            </w:tcBorders>
            <w:vAlign w:val="center"/>
          </w:tcPr>
          <w:p w:rsidR="0010642F" w:rsidRPr="000E4071" w:rsidRDefault="0010642F" w:rsidP="00B671B4">
            <w:pPr>
              <w:jc w:val="center"/>
              <w:rPr>
                <w:b/>
                <w:sz w:val="26"/>
                <w:szCs w:val="26"/>
              </w:rPr>
            </w:pPr>
            <w:r w:rsidRPr="000E4071">
              <w:rPr>
                <w:b/>
                <w:sz w:val="26"/>
                <w:szCs w:val="26"/>
              </w:rPr>
              <w:t>10</w:t>
            </w:r>
          </w:p>
        </w:tc>
        <w:tc>
          <w:tcPr>
            <w:tcW w:w="709" w:type="dxa"/>
            <w:tcBorders>
              <w:top w:val="single" w:sz="4" w:space="0" w:color="auto"/>
              <w:bottom w:val="single" w:sz="4" w:space="0" w:color="auto"/>
            </w:tcBorders>
            <w:vAlign w:val="center"/>
          </w:tcPr>
          <w:p w:rsidR="0010642F" w:rsidRPr="000E4071" w:rsidRDefault="0010642F" w:rsidP="00B671B4">
            <w:pPr>
              <w:jc w:val="center"/>
              <w:rPr>
                <w:b/>
                <w:sz w:val="26"/>
                <w:szCs w:val="26"/>
              </w:rPr>
            </w:pPr>
            <w:r w:rsidRPr="000E4071">
              <w:rPr>
                <w:b/>
                <w:sz w:val="26"/>
                <w:szCs w:val="26"/>
              </w:rPr>
              <w:t>13</w:t>
            </w:r>
          </w:p>
        </w:tc>
        <w:tc>
          <w:tcPr>
            <w:tcW w:w="709" w:type="dxa"/>
            <w:tcBorders>
              <w:top w:val="single" w:sz="4" w:space="0" w:color="auto"/>
              <w:bottom w:val="single" w:sz="4" w:space="0" w:color="auto"/>
            </w:tcBorders>
            <w:vAlign w:val="center"/>
          </w:tcPr>
          <w:p w:rsidR="0010642F" w:rsidRPr="000E4071" w:rsidRDefault="0010642F" w:rsidP="00B671B4">
            <w:pPr>
              <w:jc w:val="center"/>
              <w:rPr>
                <w:b/>
                <w:sz w:val="26"/>
                <w:szCs w:val="26"/>
              </w:rPr>
            </w:pPr>
            <w:r w:rsidRPr="000E4071">
              <w:rPr>
                <w:b/>
                <w:sz w:val="26"/>
                <w:szCs w:val="26"/>
              </w:rPr>
              <w:t>14</w:t>
            </w:r>
          </w:p>
        </w:tc>
      </w:tr>
      <w:tr w:rsidR="0010642F" w:rsidRPr="000E4071" w:rsidTr="00576AAD">
        <w:trPr>
          <w:trHeight w:val="60"/>
        </w:trPr>
        <w:tc>
          <w:tcPr>
            <w:tcW w:w="6640" w:type="dxa"/>
            <w:tcBorders>
              <w:top w:val="single" w:sz="4" w:space="0" w:color="auto"/>
              <w:bottom w:val="single" w:sz="4" w:space="0" w:color="auto"/>
            </w:tcBorders>
          </w:tcPr>
          <w:p w:rsidR="0010642F" w:rsidRPr="000E4071" w:rsidRDefault="0010642F" w:rsidP="00B671B4">
            <w:pPr>
              <w:jc w:val="right"/>
              <w:rPr>
                <w:b/>
                <w:sz w:val="26"/>
                <w:szCs w:val="26"/>
              </w:rPr>
            </w:pPr>
            <w:r w:rsidRPr="000E4071">
              <w:rPr>
                <w:b/>
                <w:sz w:val="26"/>
                <w:szCs w:val="26"/>
              </w:rPr>
              <w:t>Fona (pārējo) kritēriju skaits programmu grupā</w:t>
            </w:r>
            <w:r w:rsidR="00322E5B" w:rsidRPr="000E4071">
              <w:rPr>
                <w:b/>
                <w:sz w:val="26"/>
                <w:szCs w:val="26"/>
              </w:rPr>
              <w:t xml:space="preserve"> (</w:t>
            </w:r>
            <w:proofErr w:type="spellStart"/>
            <w:r w:rsidR="00322E5B" w:rsidRPr="000E4071">
              <w:rPr>
                <w:b/>
                <w:sz w:val="26"/>
                <w:szCs w:val="26"/>
              </w:rPr>
              <w:t>Fn</w:t>
            </w:r>
            <w:proofErr w:type="spellEnd"/>
            <w:r w:rsidR="00322E5B" w:rsidRPr="000E4071">
              <w:rPr>
                <w:b/>
                <w:sz w:val="26"/>
                <w:szCs w:val="26"/>
              </w:rPr>
              <w:t>)</w:t>
            </w:r>
          </w:p>
        </w:tc>
        <w:tc>
          <w:tcPr>
            <w:tcW w:w="851" w:type="dxa"/>
            <w:tcBorders>
              <w:top w:val="single" w:sz="4" w:space="0" w:color="auto"/>
              <w:bottom w:val="single" w:sz="4" w:space="0" w:color="auto"/>
            </w:tcBorders>
            <w:vAlign w:val="center"/>
          </w:tcPr>
          <w:p w:rsidR="0010642F" w:rsidRPr="000E4071" w:rsidRDefault="0010642F" w:rsidP="00B671B4">
            <w:pPr>
              <w:jc w:val="center"/>
              <w:rPr>
                <w:b/>
                <w:sz w:val="26"/>
                <w:szCs w:val="26"/>
              </w:rPr>
            </w:pPr>
            <w:r w:rsidRPr="000E4071">
              <w:rPr>
                <w:b/>
                <w:sz w:val="26"/>
                <w:szCs w:val="26"/>
              </w:rPr>
              <w:t>5</w:t>
            </w:r>
            <w:r w:rsidR="00B671B4" w:rsidRPr="000E4071">
              <w:rPr>
                <w:b/>
                <w:sz w:val="26"/>
                <w:szCs w:val="26"/>
              </w:rPr>
              <w:t>2</w:t>
            </w:r>
          </w:p>
        </w:tc>
        <w:tc>
          <w:tcPr>
            <w:tcW w:w="850" w:type="dxa"/>
            <w:tcBorders>
              <w:top w:val="single" w:sz="4" w:space="0" w:color="auto"/>
              <w:bottom w:val="single" w:sz="4" w:space="0" w:color="auto"/>
            </w:tcBorders>
            <w:vAlign w:val="center"/>
          </w:tcPr>
          <w:p w:rsidR="0010642F" w:rsidRPr="000E4071" w:rsidRDefault="00B671B4" w:rsidP="00B671B4">
            <w:pPr>
              <w:jc w:val="center"/>
              <w:rPr>
                <w:b/>
                <w:sz w:val="26"/>
                <w:szCs w:val="26"/>
              </w:rPr>
            </w:pPr>
            <w:r w:rsidRPr="000E4071">
              <w:rPr>
                <w:b/>
                <w:sz w:val="26"/>
                <w:szCs w:val="26"/>
              </w:rPr>
              <w:t>52</w:t>
            </w:r>
          </w:p>
        </w:tc>
        <w:tc>
          <w:tcPr>
            <w:tcW w:w="709" w:type="dxa"/>
            <w:tcBorders>
              <w:top w:val="single" w:sz="4" w:space="0" w:color="auto"/>
              <w:bottom w:val="single" w:sz="4" w:space="0" w:color="auto"/>
            </w:tcBorders>
            <w:vAlign w:val="center"/>
          </w:tcPr>
          <w:p w:rsidR="0010642F" w:rsidRPr="000E4071" w:rsidRDefault="00C6071D" w:rsidP="00B671B4">
            <w:pPr>
              <w:jc w:val="center"/>
              <w:rPr>
                <w:b/>
                <w:sz w:val="26"/>
                <w:szCs w:val="26"/>
              </w:rPr>
            </w:pPr>
            <w:r w:rsidRPr="000E4071">
              <w:rPr>
                <w:b/>
                <w:sz w:val="26"/>
                <w:szCs w:val="26"/>
              </w:rPr>
              <w:t>4</w:t>
            </w:r>
            <w:r w:rsidR="00B671B4" w:rsidRPr="000E4071">
              <w:rPr>
                <w:b/>
                <w:sz w:val="26"/>
                <w:szCs w:val="26"/>
              </w:rPr>
              <w:t>9</w:t>
            </w:r>
          </w:p>
        </w:tc>
        <w:tc>
          <w:tcPr>
            <w:tcW w:w="709" w:type="dxa"/>
            <w:tcBorders>
              <w:top w:val="single" w:sz="4" w:space="0" w:color="auto"/>
              <w:bottom w:val="single" w:sz="4" w:space="0" w:color="auto"/>
            </w:tcBorders>
            <w:vAlign w:val="center"/>
          </w:tcPr>
          <w:p w:rsidR="0010642F" w:rsidRPr="000E4071" w:rsidRDefault="00C6071D" w:rsidP="00B671B4">
            <w:pPr>
              <w:jc w:val="center"/>
              <w:rPr>
                <w:b/>
                <w:sz w:val="26"/>
                <w:szCs w:val="26"/>
              </w:rPr>
            </w:pPr>
            <w:r w:rsidRPr="000E4071">
              <w:rPr>
                <w:b/>
                <w:sz w:val="26"/>
                <w:szCs w:val="26"/>
              </w:rPr>
              <w:t>4</w:t>
            </w:r>
            <w:r w:rsidR="00B671B4" w:rsidRPr="000E4071">
              <w:rPr>
                <w:b/>
                <w:sz w:val="26"/>
                <w:szCs w:val="26"/>
              </w:rPr>
              <w:t>8</w:t>
            </w:r>
          </w:p>
        </w:tc>
      </w:tr>
    </w:tbl>
    <w:p w:rsidR="00B671B4" w:rsidRPr="000E4071" w:rsidRDefault="00B671B4" w:rsidP="00576AAD">
      <w:pPr>
        <w:jc w:val="center"/>
        <w:rPr>
          <w:rFonts w:asciiTheme="minorHAnsi" w:hAnsiTheme="minorHAnsi"/>
          <w:sz w:val="22"/>
          <w:szCs w:val="22"/>
        </w:rPr>
      </w:pPr>
    </w:p>
    <w:p w:rsidR="008C635F" w:rsidRPr="000E4071" w:rsidRDefault="00451251" w:rsidP="008C635F">
      <w:pPr>
        <w:jc w:val="right"/>
        <w:rPr>
          <w:sz w:val="26"/>
          <w:szCs w:val="26"/>
        </w:rPr>
      </w:pPr>
      <w:r w:rsidRPr="000E4071">
        <w:rPr>
          <w:sz w:val="26"/>
          <w:szCs w:val="26"/>
        </w:rPr>
        <w:t>3.a</w:t>
      </w:r>
      <w:r w:rsidR="008C635F" w:rsidRPr="000E4071">
        <w:rPr>
          <w:sz w:val="26"/>
          <w:szCs w:val="26"/>
        </w:rPr>
        <w:t>ttēls</w:t>
      </w:r>
    </w:p>
    <w:p w:rsidR="00451251" w:rsidRPr="000E4071" w:rsidRDefault="00451251" w:rsidP="00451251">
      <w:pPr>
        <w:jc w:val="center"/>
        <w:rPr>
          <w:sz w:val="26"/>
          <w:szCs w:val="26"/>
        </w:rPr>
      </w:pPr>
      <w:r w:rsidRPr="000E4071">
        <w:rPr>
          <w:sz w:val="26"/>
          <w:szCs w:val="26"/>
        </w:rPr>
        <w:t xml:space="preserve">Studiju programmu pamata un fona kritēriju </w:t>
      </w:r>
      <w:r w:rsidR="00576AAD" w:rsidRPr="000E4071">
        <w:rPr>
          <w:sz w:val="26"/>
          <w:szCs w:val="26"/>
        </w:rPr>
        <w:t>korelācija</w:t>
      </w:r>
    </w:p>
    <w:p w:rsidR="00451251" w:rsidRPr="000E4071" w:rsidRDefault="00451251" w:rsidP="00451251">
      <w:pPr>
        <w:rPr>
          <w:szCs w:val="24"/>
        </w:rPr>
      </w:pPr>
    </w:p>
    <w:p w:rsidR="00451251" w:rsidRPr="000E4071" w:rsidRDefault="00451251" w:rsidP="00451251">
      <w:pPr>
        <w:rPr>
          <w:rFonts w:asciiTheme="minorHAnsi" w:hAnsiTheme="minorHAnsi"/>
          <w:noProof/>
          <w:sz w:val="22"/>
          <w:szCs w:val="22"/>
        </w:rPr>
      </w:pPr>
      <w:r w:rsidRPr="000E4071">
        <w:rPr>
          <w:rFonts w:asciiTheme="minorHAnsi" w:hAnsiTheme="minorHAnsi"/>
          <w:noProof/>
          <w:sz w:val="22"/>
          <w:szCs w:val="22"/>
        </w:rPr>
        <w:drawing>
          <wp:inline distT="0" distB="0" distL="0" distR="0">
            <wp:extent cx="5192395" cy="3427095"/>
            <wp:effectExtent l="19050" t="0" r="8255"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92395" cy="3427095"/>
                    </a:xfrm>
                    <a:prstGeom prst="rect">
                      <a:avLst/>
                    </a:prstGeom>
                    <a:noFill/>
                    <a:ln w="9525">
                      <a:noFill/>
                      <a:miter lim="800000"/>
                      <a:headEnd/>
                      <a:tailEnd/>
                    </a:ln>
                  </pic:spPr>
                </pic:pic>
              </a:graphicData>
            </a:graphic>
          </wp:inline>
        </w:drawing>
      </w:r>
      <w:r w:rsidRPr="000E4071">
        <w:rPr>
          <w:rFonts w:asciiTheme="minorHAnsi" w:hAnsiTheme="minorHAnsi"/>
          <w:sz w:val="22"/>
          <w:szCs w:val="22"/>
        </w:rPr>
        <w:t xml:space="preserve"> </w:t>
      </w:r>
    </w:p>
    <w:p w:rsidR="00451251" w:rsidRPr="000E4071" w:rsidRDefault="00451251" w:rsidP="00451251">
      <w:pPr>
        <w:jc w:val="center"/>
        <w:rPr>
          <w:rFonts w:asciiTheme="minorHAnsi" w:hAnsiTheme="minorHAnsi"/>
          <w:sz w:val="22"/>
          <w:szCs w:val="22"/>
        </w:rPr>
      </w:pPr>
    </w:p>
    <w:p w:rsidR="00451251" w:rsidRPr="000E4071" w:rsidRDefault="00451251" w:rsidP="00451251">
      <w:pPr>
        <w:rPr>
          <w:rFonts w:asciiTheme="minorHAnsi" w:hAnsiTheme="minorHAnsi"/>
          <w:sz w:val="22"/>
          <w:szCs w:val="22"/>
        </w:rPr>
      </w:pPr>
    </w:p>
    <w:p w:rsidR="00451251" w:rsidRPr="000E4071" w:rsidRDefault="00451251" w:rsidP="00451251">
      <w:pPr>
        <w:jc w:val="both"/>
        <w:rPr>
          <w:rStyle w:val="spelle"/>
          <w:rFonts w:cstheme="minorHAnsi"/>
          <w:i/>
          <w:color w:val="FF0000"/>
          <w:sz w:val="26"/>
          <w:szCs w:val="26"/>
        </w:rPr>
      </w:pPr>
      <w:r w:rsidRPr="000E4071">
        <w:rPr>
          <w:sz w:val="26"/>
          <w:szCs w:val="26"/>
        </w:rPr>
        <w:t xml:space="preserve">Starp pamata un fona kritēriju vērtībām </w:t>
      </w:r>
      <w:r w:rsidR="00B60F31" w:rsidRPr="000E4071">
        <w:rPr>
          <w:sz w:val="26"/>
          <w:szCs w:val="26"/>
        </w:rPr>
        <w:t>ir</w:t>
      </w:r>
      <w:r w:rsidRPr="000E4071">
        <w:rPr>
          <w:sz w:val="26"/>
          <w:szCs w:val="26"/>
        </w:rPr>
        <w:t xml:space="preserve"> novērojama augsta korelācija.</w:t>
      </w:r>
    </w:p>
    <w:p w:rsidR="00451251" w:rsidRPr="000E4071" w:rsidRDefault="00451251" w:rsidP="00B671B4">
      <w:pPr>
        <w:rPr>
          <w:rFonts w:asciiTheme="minorHAnsi" w:hAnsiTheme="minorHAnsi"/>
          <w:sz w:val="26"/>
          <w:szCs w:val="26"/>
        </w:rPr>
      </w:pPr>
    </w:p>
    <w:p w:rsidR="00322E5B" w:rsidRPr="000E4071" w:rsidRDefault="00287EF5" w:rsidP="00322E5B">
      <w:pPr>
        <w:jc w:val="both"/>
        <w:rPr>
          <w:sz w:val="26"/>
          <w:szCs w:val="26"/>
        </w:rPr>
      </w:pPr>
      <w:r w:rsidRPr="000E4071">
        <w:rPr>
          <w:sz w:val="26"/>
          <w:szCs w:val="26"/>
        </w:rPr>
        <w:t xml:space="preserve">Katrai studiju programmai tiek noteikts koeficients no 0 līdz </w:t>
      </w:r>
      <w:r w:rsidR="00013EC9" w:rsidRPr="000E4071">
        <w:rPr>
          <w:sz w:val="26"/>
          <w:szCs w:val="26"/>
        </w:rPr>
        <w:t>0,75</w:t>
      </w:r>
      <w:r w:rsidR="00322E5B" w:rsidRPr="000E4071">
        <w:rPr>
          <w:sz w:val="26"/>
          <w:szCs w:val="26"/>
        </w:rPr>
        <w:t>. Pamata kritērij</w:t>
      </w:r>
      <w:r w:rsidR="00B60F31" w:rsidRPr="000E4071">
        <w:rPr>
          <w:sz w:val="26"/>
          <w:szCs w:val="26"/>
        </w:rPr>
        <w:t>i</w:t>
      </w:r>
      <w:r w:rsidR="00322E5B" w:rsidRPr="000E4071">
        <w:rPr>
          <w:sz w:val="26"/>
          <w:szCs w:val="26"/>
        </w:rPr>
        <w:t xml:space="preserve"> veido pusi no vērtējuma.</w:t>
      </w:r>
    </w:p>
    <w:p w:rsidR="00322E5B" w:rsidRPr="000E4071" w:rsidRDefault="00322E5B" w:rsidP="00322E5B">
      <w:pPr>
        <w:jc w:val="both"/>
        <w:rPr>
          <w:sz w:val="26"/>
          <w:szCs w:val="26"/>
        </w:rPr>
      </w:pPr>
    </w:p>
    <w:p w:rsidR="00287EF5" w:rsidRPr="000E4071" w:rsidRDefault="00322E5B" w:rsidP="009B2F27">
      <w:pPr>
        <w:rPr>
          <w:sz w:val="26"/>
          <w:szCs w:val="26"/>
        </w:rPr>
      </w:pPr>
      <w:r w:rsidRPr="000E4071">
        <w:rPr>
          <w:sz w:val="26"/>
          <w:szCs w:val="26"/>
        </w:rPr>
        <w:t>Studiju programmas koeficientu aprēķina pēc šādas formulas:</w:t>
      </w:r>
    </w:p>
    <w:p w:rsidR="00287EF5" w:rsidRPr="000E4071" w:rsidRDefault="00287EF5" w:rsidP="009B2F27">
      <w:pPr>
        <w:rPr>
          <w:sz w:val="26"/>
          <w:szCs w:val="26"/>
        </w:rPr>
      </w:pPr>
    </w:p>
    <w:p w:rsidR="00B70373" w:rsidRPr="000E4071" w:rsidRDefault="00B70373" w:rsidP="00B70373">
      <w:pPr>
        <w:jc w:val="center"/>
        <w:rPr>
          <w:sz w:val="26"/>
          <w:szCs w:val="26"/>
        </w:rPr>
      </w:pPr>
      <w:r w:rsidRPr="000E4071">
        <w:rPr>
          <w:noProof/>
          <w:sz w:val="26"/>
          <w:szCs w:val="26"/>
        </w:rPr>
        <w:drawing>
          <wp:inline distT="0" distB="0" distL="0" distR="0">
            <wp:extent cx="1533525" cy="54292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33525" cy="542925"/>
                    </a:xfrm>
                    <a:prstGeom prst="rect">
                      <a:avLst/>
                    </a:prstGeom>
                    <a:noFill/>
                    <a:ln w="9525">
                      <a:noFill/>
                      <a:miter lim="800000"/>
                      <a:headEnd/>
                      <a:tailEnd/>
                    </a:ln>
                  </pic:spPr>
                </pic:pic>
              </a:graphicData>
            </a:graphic>
          </wp:inline>
        </w:drawing>
      </w:r>
    </w:p>
    <w:p w:rsidR="00863677" w:rsidRPr="000E4071" w:rsidRDefault="00863677" w:rsidP="009B2F27">
      <w:pPr>
        <w:rPr>
          <w:sz w:val="26"/>
          <w:szCs w:val="26"/>
        </w:rPr>
      </w:pPr>
      <w:r w:rsidRPr="000E4071">
        <w:rPr>
          <w:sz w:val="26"/>
          <w:szCs w:val="26"/>
        </w:rPr>
        <w:t>K – studiju programmas koeficients,</w:t>
      </w:r>
    </w:p>
    <w:p w:rsidR="00863677" w:rsidRPr="000E4071" w:rsidRDefault="00863677" w:rsidP="009B2F27">
      <w:pPr>
        <w:rPr>
          <w:sz w:val="26"/>
          <w:szCs w:val="26"/>
        </w:rPr>
      </w:pPr>
      <w:r w:rsidRPr="000E4071">
        <w:rPr>
          <w:sz w:val="26"/>
          <w:szCs w:val="26"/>
        </w:rPr>
        <w:t xml:space="preserve">P – pamata kritēriju </w:t>
      </w:r>
      <w:r w:rsidR="00610245" w:rsidRPr="000E4071">
        <w:rPr>
          <w:sz w:val="26"/>
          <w:szCs w:val="26"/>
        </w:rPr>
        <w:t xml:space="preserve">grupas </w:t>
      </w:r>
      <w:r w:rsidRPr="000E4071">
        <w:rPr>
          <w:sz w:val="26"/>
          <w:szCs w:val="26"/>
        </w:rPr>
        <w:t>koeficients,</w:t>
      </w:r>
    </w:p>
    <w:p w:rsidR="00863677" w:rsidRPr="000E4071" w:rsidRDefault="00863677" w:rsidP="009B2F27">
      <w:pPr>
        <w:rPr>
          <w:sz w:val="26"/>
          <w:szCs w:val="26"/>
        </w:rPr>
      </w:pPr>
      <w:r w:rsidRPr="000E4071">
        <w:rPr>
          <w:sz w:val="26"/>
          <w:szCs w:val="26"/>
        </w:rPr>
        <w:t xml:space="preserve">F – fona kritēriju </w:t>
      </w:r>
      <w:r w:rsidR="00610245" w:rsidRPr="000E4071">
        <w:rPr>
          <w:sz w:val="26"/>
          <w:szCs w:val="26"/>
        </w:rPr>
        <w:t xml:space="preserve">grupas </w:t>
      </w:r>
      <w:r w:rsidR="00013EC9" w:rsidRPr="000E4071">
        <w:rPr>
          <w:sz w:val="26"/>
          <w:szCs w:val="26"/>
        </w:rPr>
        <w:t>koeficients,</w:t>
      </w:r>
    </w:p>
    <w:p w:rsidR="00013EC9" w:rsidRPr="000E4071" w:rsidRDefault="00013EC9" w:rsidP="009B2F27">
      <w:pPr>
        <w:rPr>
          <w:sz w:val="26"/>
          <w:szCs w:val="26"/>
        </w:rPr>
      </w:pPr>
      <w:r w:rsidRPr="000E4071">
        <w:rPr>
          <w:sz w:val="26"/>
          <w:szCs w:val="26"/>
        </w:rPr>
        <w:t>Km – kopas minimālais koeficients (0.25).</w:t>
      </w:r>
    </w:p>
    <w:p w:rsidR="00287EF5" w:rsidRPr="000E4071" w:rsidRDefault="00B70373" w:rsidP="00B70373">
      <w:pPr>
        <w:jc w:val="center"/>
        <w:rPr>
          <w:szCs w:val="24"/>
        </w:rPr>
      </w:pPr>
      <w:r w:rsidRPr="000E4071">
        <w:rPr>
          <w:noProof/>
          <w:szCs w:val="24"/>
        </w:rPr>
        <w:drawing>
          <wp:inline distT="0" distB="0" distL="0" distR="0">
            <wp:extent cx="1819275" cy="609600"/>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19275" cy="609600"/>
                    </a:xfrm>
                    <a:prstGeom prst="rect">
                      <a:avLst/>
                    </a:prstGeom>
                    <a:noFill/>
                    <a:ln w="9525">
                      <a:noFill/>
                      <a:miter lim="800000"/>
                      <a:headEnd/>
                      <a:tailEnd/>
                    </a:ln>
                  </pic:spPr>
                </pic:pic>
              </a:graphicData>
            </a:graphic>
          </wp:inline>
        </w:drawing>
      </w:r>
    </w:p>
    <w:p w:rsidR="00610245" w:rsidRPr="000E4071" w:rsidRDefault="00610245" w:rsidP="00563A5E">
      <w:pPr>
        <w:jc w:val="both"/>
        <w:rPr>
          <w:sz w:val="26"/>
          <w:szCs w:val="26"/>
        </w:rPr>
      </w:pPr>
      <w:r w:rsidRPr="000E4071">
        <w:rPr>
          <w:sz w:val="26"/>
          <w:szCs w:val="26"/>
        </w:rPr>
        <w:t>kur</w:t>
      </w:r>
    </w:p>
    <w:p w:rsidR="00610245" w:rsidRPr="000E4071" w:rsidRDefault="00610245" w:rsidP="00563A5E">
      <w:pPr>
        <w:jc w:val="both"/>
        <w:rPr>
          <w:sz w:val="26"/>
          <w:szCs w:val="26"/>
        </w:rPr>
      </w:pPr>
      <w:proofErr w:type="spellStart"/>
      <w:r w:rsidRPr="000E4071">
        <w:rPr>
          <w:sz w:val="26"/>
          <w:szCs w:val="26"/>
        </w:rPr>
        <w:t>Pk</w:t>
      </w:r>
      <w:proofErr w:type="spellEnd"/>
      <w:r w:rsidRPr="000E4071">
        <w:rPr>
          <w:sz w:val="26"/>
          <w:szCs w:val="26"/>
        </w:rPr>
        <w:t xml:space="preserve"> – pamata kritēriju grupas vērtību summa,</w:t>
      </w:r>
    </w:p>
    <w:p w:rsidR="00610245" w:rsidRPr="000E4071" w:rsidRDefault="00610245" w:rsidP="00563A5E">
      <w:pPr>
        <w:jc w:val="both"/>
        <w:rPr>
          <w:sz w:val="26"/>
          <w:szCs w:val="26"/>
        </w:rPr>
      </w:pPr>
      <w:proofErr w:type="spellStart"/>
      <w:r w:rsidRPr="000E4071">
        <w:rPr>
          <w:sz w:val="26"/>
          <w:szCs w:val="26"/>
        </w:rPr>
        <w:t>Pn</w:t>
      </w:r>
      <w:proofErr w:type="spellEnd"/>
      <w:r w:rsidRPr="000E4071">
        <w:rPr>
          <w:sz w:val="26"/>
          <w:szCs w:val="26"/>
        </w:rPr>
        <w:t xml:space="preserve"> – pamata kritēriju skaits,</w:t>
      </w:r>
    </w:p>
    <w:p w:rsidR="00610245" w:rsidRPr="000E4071" w:rsidRDefault="00610245" w:rsidP="00563A5E">
      <w:pPr>
        <w:jc w:val="both"/>
        <w:rPr>
          <w:sz w:val="26"/>
          <w:szCs w:val="26"/>
        </w:rPr>
      </w:pPr>
      <w:proofErr w:type="spellStart"/>
      <w:r w:rsidRPr="000E4071">
        <w:rPr>
          <w:sz w:val="26"/>
          <w:szCs w:val="26"/>
        </w:rPr>
        <w:lastRenderedPageBreak/>
        <w:t>Pe</w:t>
      </w:r>
      <w:proofErr w:type="spellEnd"/>
      <w:r w:rsidRPr="000E4071">
        <w:rPr>
          <w:sz w:val="26"/>
          <w:szCs w:val="26"/>
        </w:rPr>
        <w:t xml:space="preserve"> – kritēriju skaits bez novērtējuma pamata kritēriju grupā.</w:t>
      </w:r>
    </w:p>
    <w:p w:rsidR="00322E5B" w:rsidRPr="000E4071" w:rsidRDefault="00322E5B" w:rsidP="00563A5E">
      <w:pPr>
        <w:jc w:val="both"/>
        <w:rPr>
          <w:sz w:val="26"/>
          <w:szCs w:val="26"/>
        </w:rPr>
      </w:pPr>
    </w:p>
    <w:p w:rsidR="00610245" w:rsidRPr="000E4071" w:rsidRDefault="00B70373" w:rsidP="00B70373">
      <w:pPr>
        <w:jc w:val="center"/>
        <w:rPr>
          <w:sz w:val="26"/>
          <w:szCs w:val="26"/>
        </w:rPr>
      </w:pPr>
      <w:r w:rsidRPr="000E4071">
        <w:rPr>
          <w:noProof/>
          <w:sz w:val="26"/>
          <w:szCs w:val="26"/>
        </w:rPr>
        <w:drawing>
          <wp:inline distT="0" distB="0" distL="0" distR="0">
            <wp:extent cx="1628775" cy="56197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628775" cy="561975"/>
                    </a:xfrm>
                    <a:prstGeom prst="rect">
                      <a:avLst/>
                    </a:prstGeom>
                    <a:noFill/>
                    <a:ln w="9525">
                      <a:noFill/>
                      <a:miter lim="800000"/>
                      <a:headEnd/>
                      <a:tailEnd/>
                    </a:ln>
                  </pic:spPr>
                </pic:pic>
              </a:graphicData>
            </a:graphic>
          </wp:inline>
        </w:drawing>
      </w:r>
    </w:p>
    <w:p w:rsidR="00610245" w:rsidRPr="000E4071" w:rsidRDefault="00610245" w:rsidP="00610245">
      <w:pPr>
        <w:jc w:val="both"/>
        <w:rPr>
          <w:sz w:val="26"/>
          <w:szCs w:val="26"/>
        </w:rPr>
      </w:pPr>
      <w:r w:rsidRPr="000E4071">
        <w:rPr>
          <w:sz w:val="26"/>
          <w:szCs w:val="26"/>
        </w:rPr>
        <w:t>kur</w:t>
      </w:r>
    </w:p>
    <w:p w:rsidR="00610245" w:rsidRPr="000E4071" w:rsidRDefault="00610245" w:rsidP="00610245">
      <w:pPr>
        <w:jc w:val="both"/>
        <w:rPr>
          <w:sz w:val="26"/>
          <w:szCs w:val="26"/>
        </w:rPr>
      </w:pPr>
      <w:proofErr w:type="spellStart"/>
      <w:r w:rsidRPr="000E4071">
        <w:rPr>
          <w:sz w:val="26"/>
          <w:szCs w:val="26"/>
        </w:rPr>
        <w:t>Fk</w:t>
      </w:r>
      <w:proofErr w:type="spellEnd"/>
      <w:r w:rsidRPr="000E4071">
        <w:rPr>
          <w:sz w:val="26"/>
          <w:szCs w:val="26"/>
        </w:rPr>
        <w:t xml:space="preserve"> – fona kritēriju grupas vērtību summa,</w:t>
      </w:r>
    </w:p>
    <w:p w:rsidR="00610245" w:rsidRPr="000E4071" w:rsidRDefault="00610245" w:rsidP="00610245">
      <w:pPr>
        <w:jc w:val="both"/>
        <w:rPr>
          <w:sz w:val="26"/>
          <w:szCs w:val="26"/>
        </w:rPr>
      </w:pPr>
      <w:proofErr w:type="spellStart"/>
      <w:r w:rsidRPr="000E4071">
        <w:rPr>
          <w:sz w:val="26"/>
          <w:szCs w:val="26"/>
        </w:rPr>
        <w:t>Fn</w:t>
      </w:r>
      <w:proofErr w:type="spellEnd"/>
      <w:r w:rsidRPr="000E4071">
        <w:rPr>
          <w:sz w:val="26"/>
          <w:szCs w:val="26"/>
        </w:rPr>
        <w:t xml:space="preserve"> – fona kritēriju skaits,</w:t>
      </w:r>
    </w:p>
    <w:p w:rsidR="00610245" w:rsidRPr="000E4071" w:rsidRDefault="00610245" w:rsidP="00610245">
      <w:pPr>
        <w:jc w:val="both"/>
        <w:rPr>
          <w:sz w:val="26"/>
          <w:szCs w:val="26"/>
        </w:rPr>
      </w:pPr>
      <w:r w:rsidRPr="000E4071">
        <w:rPr>
          <w:sz w:val="26"/>
          <w:szCs w:val="26"/>
        </w:rPr>
        <w:t>Fe – kritēriju skaits bez novērtējuma fona kritēriju grupā.</w:t>
      </w:r>
    </w:p>
    <w:p w:rsidR="00610245" w:rsidRPr="000E4071" w:rsidRDefault="00610245" w:rsidP="00563A5E">
      <w:pPr>
        <w:jc w:val="both"/>
        <w:rPr>
          <w:sz w:val="26"/>
          <w:szCs w:val="26"/>
        </w:rPr>
      </w:pPr>
    </w:p>
    <w:p w:rsidR="00563A5E" w:rsidRPr="000E4071" w:rsidRDefault="00563A5E" w:rsidP="00B60F31">
      <w:pPr>
        <w:jc w:val="both"/>
        <w:rPr>
          <w:sz w:val="26"/>
          <w:szCs w:val="26"/>
        </w:rPr>
      </w:pPr>
    </w:p>
    <w:p w:rsidR="00563A5E" w:rsidRPr="000E4071" w:rsidRDefault="00563A5E" w:rsidP="00B60F31">
      <w:pPr>
        <w:jc w:val="both"/>
        <w:rPr>
          <w:sz w:val="26"/>
          <w:szCs w:val="26"/>
        </w:rPr>
      </w:pPr>
      <w:r w:rsidRPr="000E4071">
        <w:rPr>
          <w:sz w:val="26"/>
          <w:szCs w:val="26"/>
        </w:rPr>
        <w:t xml:space="preserve">Ja viena vai vairāku kritēriju vērtējumi nav pieejami, tie tiek izslēgti no </w:t>
      </w:r>
      <w:r w:rsidR="00322E5B" w:rsidRPr="000E4071">
        <w:rPr>
          <w:sz w:val="26"/>
          <w:szCs w:val="26"/>
        </w:rPr>
        <w:t>grupas. Vienlaikus tiek norādīts</w:t>
      </w:r>
      <w:r w:rsidRPr="000E4071">
        <w:rPr>
          <w:sz w:val="26"/>
          <w:szCs w:val="26"/>
        </w:rPr>
        <w:t xml:space="preserve"> kritēriju vērtējumu pieejamības īpatsvars n</w:t>
      </w:r>
      <w:r w:rsidR="00322E5B" w:rsidRPr="000E4071">
        <w:rPr>
          <w:sz w:val="26"/>
          <w:szCs w:val="26"/>
        </w:rPr>
        <w:t>o kopējo kritēriju skaita grupā</w:t>
      </w:r>
      <w:r w:rsidRPr="000E4071">
        <w:rPr>
          <w:sz w:val="26"/>
          <w:szCs w:val="26"/>
        </w:rPr>
        <w:t>.</w:t>
      </w:r>
    </w:p>
    <w:p w:rsidR="00451ED3" w:rsidRPr="000E4071" w:rsidRDefault="00451ED3" w:rsidP="009B2F27">
      <w:pPr>
        <w:rPr>
          <w:sz w:val="26"/>
          <w:szCs w:val="26"/>
        </w:rPr>
      </w:pPr>
    </w:p>
    <w:p w:rsidR="00783E89" w:rsidRDefault="00783E89" w:rsidP="00335978">
      <w:pPr>
        <w:jc w:val="right"/>
        <w:rPr>
          <w:sz w:val="26"/>
          <w:szCs w:val="26"/>
        </w:rPr>
      </w:pPr>
    </w:p>
    <w:p w:rsidR="00501D29" w:rsidRPr="000E4071" w:rsidRDefault="00501D29" w:rsidP="00501D29">
      <w:pPr>
        <w:pStyle w:val="Heading1"/>
        <w:rPr>
          <w:rFonts w:ascii="Times New Roman" w:hAnsi="Times New Roman" w:cs="Times New Roman"/>
          <w:color w:val="auto"/>
          <w:sz w:val="26"/>
          <w:szCs w:val="26"/>
        </w:rPr>
      </w:pPr>
      <w:bookmarkStart w:id="3" w:name="_Toc339920971"/>
      <w:bookmarkStart w:id="4" w:name="_Toc339956408"/>
      <w:r w:rsidRPr="000E4071">
        <w:rPr>
          <w:rFonts w:ascii="Times New Roman" w:hAnsi="Times New Roman" w:cs="Times New Roman"/>
          <w:color w:val="auto"/>
          <w:sz w:val="26"/>
          <w:szCs w:val="26"/>
        </w:rPr>
        <w:t>Studiju programmu alternatīvās grupas: A, B, C</w:t>
      </w:r>
      <w:bookmarkEnd w:id="3"/>
      <w:bookmarkEnd w:id="4"/>
    </w:p>
    <w:p w:rsidR="00501D29" w:rsidRPr="000E4071" w:rsidRDefault="00501D29" w:rsidP="00501D29"/>
    <w:p w:rsidR="00501D29" w:rsidRPr="000E4071" w:rsidRDefault="00501D29" w:rsidP="00501D29">
      <w:pPr>
        <w:rPr>
          <w:sz w:val="26"/>
          <w:szCs w:val="26"/>
        </w:rPr>
      </w:pPr>
      <w:r w:rsidRPr="000E4071">
        <w:rPr>
          <w:sz w:val="26"/>
          <w:szCs w:val="26"/>
        </w:rPr>
        <w:t>Atbilstoši iepriekš aprakstītajai metodoloģijai, pēc iegūtās koeficienta vērtības studiju programma tiek iekļauta vienā no trijām grupām (A, B un C):</w:t>
      </w:r>
    </w:p>
    <w:p w:rsidR="00501D29" w:rsidRPr="000E4071" w:rsidRDefault="00501D29" w:rsidP="00501D29">
      <w:pPr>
        <w:jc w:val="center"/>
        <w:rPr>
          <w:sz w:val="26"/>
          <w:szCs w:val="26"/>
        </w:rPr>
      </w:pPr>
    </w:p>
    <w:p w:rsidR="00501D29" w:rsidRPr="000E4071" w:rsidRDefault="00501D29" w:rsidP="00501D29">
      <w:pPr>
        <w:jc w:val="right"/>
        <w:rPr>
          <w:sz w:val="26"/>
          <w:szCs w:val="26"/>
        </w:rPr>
      </w:pPr>
      <w:r w:rsidRPr="000E4071">
        <w:rPr>
          <w:sz w:val="26"/>
          <w:szCs w:val="26"/>
        </w:rPr>
        <w:t>5.tabula</w:t>
      </w:r>
    </w:p>
    <w:p w:rsidR="00501D29" w:rsidRPr="000E4071" w:rsidRDefault="00501D29" w:rsidP="00501D29">
      <w:pPr>
        <w:jc w:val="center"/>
        <w:rPr>
          <w:sz w:val="26"/>
          <w:szCs w:val="26"/>
        </w:rPr>
      </w:pPr>
      <w:r w:rsidRPr="000E4071">
        <w:rPr>
          <w:sz w:val="26"/>
          <w:szCs w:val="26"/>
        </w:rPr>
        <w:t>Studiju programmu alternatīvās grupas</w:t>
      </w:r>
    </w:p>
    <w:p w:rsidR="00501D29" w:rsidRPr="000E4071" w:rsidRDefault="00501D29" w:rsidP="00501D29">
      <w:pPr>
        <w:jc w:val="center"/>
        <w:rPr>
          <w:sz w:val="26"/>
          <w:szCs w:val="26"/>
        </w:rPr>
      </w:pPr>
    </w:p>
    <w:tbl>
      <w:tblPr>
        <w:tblW w:w="0" w:type="auto"/>
        <w:tblBorders>
          <w:insideH w:val="single" w:sz="4" w:space="0" w:color="auto"/>
          <w:insideV w:val="single" w:sz="4" w:space="0" w:color="auto"/>
        </w:tblBorders>
        <w:tblLook w:val="04A0" w:firstRow="1" w:lastRow="0" w:firstColumn="1" w:lastColumn="0" w:noHBand="0" w:noVBand="1"/>
      </w:tblPr>
      <w:tblGrid>
        <w:gridCol w:w="1386"/>
        <w:gridCol w:w="5101"/>
        <w:gridCol w:w="2410"/>
      </w:tblGrid>
      <w:tr w:rsidR="00501D29" w:rsidRPr="000E4071" w:rsidTr="002304DF">
        <w:tc>
          <w:tcPr>
            <w:tcW w:w="1386" w:type="dxa"/>
          </w:tcPr>
          <w:p w:rsidR="00501D29" w:rsidRPr="000E4071" w:rsidRDefault="00501D29" w:rsidP="002304DF">
            <w:pPr>
              <w:jc w:val="center"/>
              <w:rPr>
                <w:sz w:val="26"/>
                <w:szCs w:val="26"/>
              </w:rPr>
            </w:pPr>
            <w:r w:rsidRPr="000E4071">
              <w:rPr>
                <w:sz w:val="26"/>
                <w:szCs w:val="26"/>
              </w:rPr>
              <w:t>Alternatīvā grupa</w:t>
            </w:r>
          </w:p>
        </w:tc>
        <w:tc>
          <w:tcPr>
            <w:tcW w:w="5101" w:type="dxa"/>
          </w:tcPr>
          <w:p w:rsidR="00501D29" w:rsidRPr="000E4071" w:rsidRDefault="00501D29" w:rsidP="002304DF">
            <w:pPr>
              <w:jc w:val="center"/>
              <w:rPr>
                <w:sz w:val="26"/>
                <w:szCs w:val="26"/>
              </w:rPr>
            </w:pPr>
            <w:r w:rsidRPr="000E4071">
              <w:rPr>
                <w:sz w:val="26"/>
                <w:szCs w:val="26"/>
              </w:rPr>
              <w:t>Raksturojums</w:t>
            </w:r>
          </w:p>
        </w:tc>
        <w:tc>
          <w:tcPr>
            <w:tcW w:w="2410" w:type="dxa"/>
          </w:tcPr>
          <w:p w:rsidR="00501D29" w:rsidRPr="000E4071" w:rsidRDefault="00501D29" w:rsidP="002304DF">
            <w:pPr>
              <w:jc w:val="center"/>
              <w:rPr>
                <w:sz w:val="26"/>
                <w:szCs w:val="26"/>
              </w:rPr>
            </w:pPr>
            <w:r w:rsidRPr="000E4071">
              <w:rPr>
                <w:sz w:val="26"/>
                <w:szCs w:val="26"/>
              </w:rPr>
              <w:t>Koeficienta K intervāls</w:t>
            </w:r>
          </w:p>
        </w:tc>
      </w:tr>
      <w:tr w:rsidR="00501D29" w:rsidRPr="000E4071" w:rsidTr="002304DF">
        <w:tc>
          <w:tcPr>
            <w:tcW w:w="1386" w:type="dxa"/>
            <w:vAlign w:val="center"/>
          </w:tcPr>
          <w:p w:rsidR="00501D29" w:rsidRPr="000E4071" w:rsidRDefault="00501D29" w:rsidP="002304DF">
            <w:pPr>
              <w:jc w:val="center"/>
              <w:rPr>
                <w:sz w:val="26"/>
                <w:szCs w:val="26"/>
              </w:rPr>
            </w:pPr>
            <w:r w:rsidRPr="000E4071">
              <w:rPr>
                <w:sz w:val="26"/>
                <w:szCs w:val="26"/>
              </w:rPr>
              <w:t>A</w:t>
            </w:r>
          </w:p>
        </w:tc>
        <w:tc>
          <w:tcPr>
            <w:tcW w:w="5101" w:type="dxa"/>
          </w:tcPr>
          <w:p w:rsidR="00501D29" w:rsidRPr="000E4071" w:rsidRDefault="00501D29" w:rsidP="002304DF">
            <w:pPr>
              <w:jc w:val="both"/>
              <w:rPr>
                <w:bCs/>
                <w:sz w:val="26"/>
                <w:szCs w:val="26"/>
              </w:rPr>
            </w:pPr>
            <w:r w:rsidRPr="000E4071">
              <w:rPr>
                <w:color w:val="000000"/>
                <w:sz w:val="26"/>
                <w:szCs w:val="26"/>
              </w:rPr>
              <w:t xml:space="preserve">saskaņā ar kvantitatīvajiem datiem programmas, kas ir </w:t>
            </w:r>
            <w:r w:rsidRPr="000E4071">
              <w:rPr>
                <w:sz w:val="26"/>
                <w:szCs w:val="26"/>
              </w:rPr>
              <w:t>pārliecinoši kvalitatīvas un uzskatāmas par ilgtspējīgām</w:t>
            </w:r>
          </w:p>
        </w:tc>
        <w:tc>
          <w:tcPr>
            <w:tcW w:w="2410" w:type="dxa"/>
            <w:vAlign w:val="center"/>
          </w:tcPr>
          <w:p w:rsidR="00501D29" w:rsidRPr="000E4071" w:rsidRDefault="00501D29" w:rsidP="002304DF">
            <w:pPr>
              <w:jc w:val="center"/>
              <w:rPr>
                <w:sz w:val="26"/>
                <w:szCs w:val="26"/>
              </w:rPr>
            </w:pPr>
            <w:r w:rsidRPr="000E4071">
              <w:rPr>
                <w:sz w:val="26"/>
                <w:szCs w:val="26"/>
              </w:rPr>
              <w:t>0.651 – 0.750</w:t>
            </w:r>
          </w:p>
        </w:tc>
      </w:tr>
      <w:tr w:rsidR="00501D29" w:rsidRPr="000E4071" w:rsidTr="002304DF">
        <w:tc>
          <w:tcPr>
            <w:tcW w:w="1386" w:type="dxa"/>
            <w:vAlign w:val="center"/>
          </w:tcPr>
          <w:p w:rsidR="00501D29" w:rsidRPr="000E4071" w:rsidRDefault="00501D29" w:rsidP="002304DF">
            <w:pPr>
              <w:jc w:val="center"/>
              <w:rPr>
                <w:sz w:val="26"/>
                <w:szCs w:val="26"/>
              </w:rPr>
            </w:pPr>
            <w:r w:rsidRPr="000E4071">
              <w:rPr>
                <w:sz w:val="26"/>
                <w:szCs w:val="26"/>
              </w:rPr>
              <w:t>B</w:t>
            </w:r>
          </w:p>
        </w:tc>
        <w:tc>
          <w:tcPr>
            <w:tcW w:w="5101" w:type="dxa"/>
          </w:tcPr>
          <w:p w:rsidR="00501D29" w:rsidRPr="000E4071" w:rsidRDefault="00501D29" w:rsidP="002304DF">
            <w:pPr>
              <w:jc w:val="both"/>
              <w:rPr>
                <w:bCs/>
                <w:sz w:val="26"/>
                <w:szCs w:val="26"/>
              </w:rPr>
            </w:pPr>
            <w:r w:rsidRPr="000E4071">
              <w:rPr>
                <w:color w:val="000000"/>
                <w:sz w:val="26"/>
                <w:szCs w:val="26"/>
              </w:rPr>
              <w:t>saskaņā ar kvantitatīvajiem datiem programmas, kuru īstenošanā ir vērojamas problēmas un kuru ilgstošai pastāvēšanai nepieciešami konkrēti uzlabojumi</w:t>
            </w:r>
          </w:p>
        </w:tc>
        <w:tc>
          <w:tcPr>
            <w:tcW w:w="2410" w:type="dxa"/>
            <w:vAlign w:val="center"/>
          </w:tcPr>
          <w:p w:rsidR="00501D29" w:rsidRPr="000E4071" w:rsidRDefault="00501D29" w:rsidP="002304DF">
            <w:pPr>
              <w:jc w:val="center"/>
              <w:rPr>
                <w:sz w:val="26"/>
                <w:szCs w:val="26"/>
              </w:rPr>
            </w:pPr>
            <w:r w:rsidRPr="000E4071">
              <w:rPr>
                <w:sz w:val="26"/>
                <w:szCs w:val="26"/>
              </w:rPr>
              <w:t>0.551 – 0.650</w:t>
            </w:r>
          </w:p>
        </w:tc>
      </w:tr>
      <w:tr w:rsidR="00501D29" w:rsidRPr="000E4071" w:rsidTr="002304DF">
        <w:tc>
          <w:tcPr>
            <w:tcW w:w="1386" w:type="dxa"/>
            <w:vAlign w:val="center"/>
          </w:tcPr>
          <w:p w:rsidR="00501D29" w:rsidRPr="000E4071" w:rsidRDefault="00501D29" w:rsidP="002304DF">
            <w:pPr>
              <w:jc w:val="center"/>
              <w:rPr>
                <w:sz w:val="26"/>
                <w:szCs w:val="26"/>
              </w:rPr>
            </w:pPr>
            <w:r w:rsidRPr="000E4071">
              <w:rPr>
                <w:sz w:val="26"/>
                <w:szCs w:val="26"/>
              </w:rPr>
              <w:t>C</w:t>
            </w:r>
          </w:p>
        </w:tc>
        <w:tc>
          <w:tcPr>
            <w:tcW w:w="5101" w:type="dxa"/>
          </w:tcPr>
          <w:p w:rsidR="00501D29" w:rsidRPr="000E4071" w:rsidRDefault="00501D29" w:rsidP="002304DF">
            <w:pPr>
              <w:jc w:val="both"/>
              <w:rPr>
                <w:bCs/>
                <w:sz w:val="26"/>
                <w:szCs w:val="26"/>
              </w:rPr>
            </w:pPr>
            <w:r w:rsidRPr="000E4071">
              <w:rPr>
                <w:color w:val="000000"/>
                <w:sz w:val="26"/>
                <w:szCs w:val="26"/>
              </w:rPr>
              <w:t xml:space="preserve">saskaņā ar kvantitatīvajiem datiem </w:t>
            </w:r>
            <w:r w:rsidRPr="000E4071">
              <w:rPr>
                <w:sz w:val="26"/>
                <w:szCs w:val="26"/>
              </w:rPr>
              <w:t>programmas, kuru pastāvēšana ir problemātiska</w:t>
            </w:r>
          </w:p>
        </w:tc>
        <w:tc>
          <w:tcPr>
            <w:tcW w:w="2410" w:type="dxa"/>
            <w:vAlign w:val="center"/>
          </w:tcPr>
          <w:p w:rsidR="00501D29" w:rsidRPr="000E4071" w:rsidRDefault="00501D29" w:rsidP="002304DF">
            <w:pPr>
              <w:jc w:val="center"/>
              <w:rPr>
                <w:sz w:val="26"/>
                <w:szCs w:val="26"/>
              </w:rPr>
            </w:pPr>
            <w:r w:rsidRPr="000E4071">
              <w:rPr>
                <w:sz w:val="26"/>
                <w:szCs w:val="26"/>
              </w:rPr>
              <w:t>&lt;0.550</w:t>
            </w:r>
          </w:p>
        </w:tc>
      </w:tr>
    </w:tbl>
    <w:p w:rsidR="00501D29" w:rsidRPr="000E4071" w:rsidRDefault="00501D29" w:rsidP="00501D29">
      <w:pPr>
        <w:jc w:val="right"/>
        <w:rPr>
          <w:sz w:val="26"/>
          <w:szCs w:val="26"/>
        </w:rPr>
      </w:pPr>
      <w:r w:rsidRPr="000E4071">
        <w:rPr>
          <w:sz w:val="26"/>
          <w:szCs w:val="26"/>
        </w:rPr>
        <w:t>6.tabula</w:t>
      </w:r>
    </w:p>
    <w:p w:rsidR="00501D29" w:rsidRPr="000E4071" w:rsidRDefault="00501D29" w:rsidP="00501D29">
      <w:pPr>
        <w:jc w:val="center"/>
        <w:rPr>
          <w:sz w:val="26"/>
          <w:szCs w:val="26"/>
        </w:rPr>
      </w:pPr>
      <w:r w:rsidRPr="000E4071">
        <w:rPr>
          <w:sz w:val="26"/>
          <w:szCs w:val="26"/>
        </w:rPr>
        <w:t>Studiju programmu skaits alternatīvajās grupās</w:t>
      </w:r>
    </w:p>
    <w:p w:rsidR="00501D29" w:rsidRPr="000E4071" w:rsidRDefault="00501D29" w:rsidP="00501D29">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69"/>
      </w:tblGrid>
      <w:tr w:rsidR="00501D29" w:rsidRPr="000E4071" w:rsidTr="002304DF">
        <w:trPr>
          <w:jc w:val="center"/>
        </w:trPr>
        <w:tc>
          <w:tcPr>
            <w:tcW w:w="2196" w:type="dxa"/>
          </w:tcPr>
          <w:p w:rsidR="00501D29" w:rsidRPr="000E4071" w:rsidRDefault="00501D29" w:rsidP="002304DF">
            <w:pPr>
              <w:jc w:val="center"/>
              <w:rPr>
                <w:sz w:val="26"/>
                <w:szCs w:val="26"/>
              </w:rPr>
            </w:pPr>
            <w:r w:rsidRPr="000E4071">
              <w:rPr>
                <w:sz w:val="26"/>
                <w:szCs w:val="26"/>
              </w:rPr>
              <w:t>Alternatīvā grupa</w:t>
            </w:r>
          </w:p>
        </w:tc>
        <w:tc>
          <w:tcPr>
            <w:tcW w:w="2669" w:type="dxa"/>
          </w:tcPr>
          <w:p w:rsidR="00501D29" w:rsidRPr="000E4071" w:rsidRDefault="00501D29" w:rsidP="002304DF">
            <w:pPr>
              <w:jc w:val="center"/>
              <w:rPr>
                <w:sz w:val="26"/>
                <w:szCs w:val="26"/>
              </w:rPr>
            </w:pPr>
            <w:r w:rsidRPr="000E4071">
              <w:rPr>
                <w:sz w:val="26"/>
                <w:szCs w:val="26"/>
              </w:rPr>
              <w:t>Studiju programmu skaits</w:t>
            </w:r>
          </w:p>
        </w:tc>
      </w:tr>
      <w:tr w:rsidR="00501D29" w:rsidRPr="000E4071" w:rsidTr="002304DF">
        <w:trPr>
          <w:jc w:val="center"/>
        </w:trPr>
        <w:tc>
          <w:tcPr>
            <w:tcW w:w="2196" w:type="dxa"/>
            <w:vAlign w:val="center"/>
          </w:tcPr>
          <w:p w:rsidR="00501D29" w:rsidRPr="000E4071" w:rsidRDefault="00501D29" w:rsidP="002304DF">
            <w:pPr>
              <w:jc w:val="center"/>
              <w:rPr>
                <w:sz w:val="26"/>
                <w:szCs w:val="26"/>
              </w:rPr>
            </w:pPr>
            <w:r w:rsidRPr="000E4071">
              <w:rPr>
                <w:sz w:val="26"/>
                <w:szCs w:val="26"/>
              </w:rPr>
              <w:t>A</w:t>
            </w:r>
          </w:p>
        </w:tc>
        <w:tc>
          <w:tcPr>
            <w:tcW w:w="2669" w:type="dxa"/>
            <w:vAlign w:val="center"/>
          </w:tcPr>
          <w:p w:rsidR="00501D29" w:rsidRPr="000E4071" w:rsidRDefault="00501D29" w:rsidP="002304DF">
            <w:pPr>
              <w:jc w:val="center"/>
              <w:rPr>
                <w:sz w:val="26"/>
                <w:szCs w:val="26"/>
              </w:rPr>
            </w:pPr>
            <w:r w:rsidRPr="000E4071">
              <w:rPr>
                <w:sz w:val="26"/>
                <w:szCs w:val="26"/>
              </w:rPr>
              <w:t>389</w:t>
            </w:r>
          </w:p>
        </w:tc>
      </w:tr>
      <w:tr w:rsidR="00501D29" w:rsidRPr="000E4071" w:rsidTr="002304DF">
        <w:trPr>
          <w:jc w:val="center"/>
        </w:trPr>
        <w:tc>
          <w:tcPr>
            <w:tcW w:w="2196" w:type="dxa"/>
            <w:vAlign w:val="center"/>
          </w:tcPr>
          <w:p w:rsidR="00501D29" w:rsidRPr="000E4071" w:rsidRDefault="00501D29" w:rsidP="002304DF">
            <w:pPr>
              <w:jc w:val="center"/>
              <w:rPr>
                <w:sz w:val="26"/>
                <w:szCs w:val="26"/>
              </w:rPr>
            </w:pPr>
            <w:r w:rsidRPr="000E4071">
              <w:rPr>
                <w:sz w:val="26"/>
                <w:szCs w:val="26"/>
              </w:rPr>
              <w:t>B</w:t>
            </w:r>
          </w:p>
        </w:tc>
        <w:tc>
          <w:tcPr>
            <w:tcW w:w="2669" w:type="dxa"/>
            <w:vAlign w:val="center"/>
          </w:tcPr>
          <w:p w:rsidR="00501D29" w:rsidRPr="000E4071" w:rsidRDefault="00501D29" w:rsidP="002304DF">
            <w:pPr>
              <w:jc w:val="center"/>
              <w:rPr>
                <w:sz w:val="26"/>
                <w:szCs w:val="26"/>
              </w:rPr>
            </w:pPr>
            <w:r w:rsidRPr="000E4071">
              <w:rPr>
                <w:sz w:val="26"/>
                <w:szCs w:val="26"/>
              </w:rPr>
              <w:t>264</w:t>
            </w:r>
          </w:p>
        </w:tc>
      </w:tr>
      <w:tr w:rsidR="00501D29" w:rsidRPr="000E4071" w:rsidTr="002304DF">
        <w:trPr>
          <w:jc w:val="center"/>
        </w:trPr>
        <w:tc>
          <w:tcPr>
            <w:tcW w:w="2196" w:type="dxa"/>
            <w:vAlign w:val="center"/>
          </w:tcPr>
          <w:p w:rsidR="00501D29" w:rsidRPr="000E4071" w:rsidRDefault="00501D29" w:rsidP="002304DF">
            <w:pPr>
              <w:jc w:val="center"/>
              <w:rPr>
                <w:sz w:val="26"/>
                <w:szCs w:val="26"/>
              </w:rPr>
            </w:pPr>
            <w:r w:rsidRPr="000E4071">
              <w:rPr>
                <w:sz w:val="26"/>
                <w:szCs w:val="26"/>
              </w:rPr>
              <w:t>C</w:t>
            </w:r>
          </w:p>
        </w:tc>
        <w:tc>
          <w:tcPr>
            <w:tcW w:w="2669" w:type="dxa"/>
            <w:vAlign w:val="center"/>
          </w:tcPr>
          <w:p w:rsidR="00501D29" w:rsidRPr="000E4071" w:rsidRDefault="00501D29" w:rsidP="002304DF">
            <w:pPr>
              <w:jc w:val="center"/>
              <w:rPr>
                <w:sz w:val="26"/>
                <w:szCs w:val="26"/>
              </w:rPr>
            </w:pPr>
            <w:r w:rsidRPr="000E4071">
              <w:rPr>
                <w:sz w:val="26"/>
                <w:szCs w:val="26"/>
              </w:rPr>
              <w:t>183</w:t>
            </w:r>
          </w:p>
        </w:tc>
      </w:tr>
      <w:tr w:rsidR="00501D29" w:rsidRPr="000E4071" w:rsidTr="002304DF">
        <w:trPr>
          <w:jc w:val="center"/>
        </w:trPr>
        <w:tc>
          <w:tcPr>
            <w:tcW w:w="2196" w:type="dxa"/>
            <w:vAlign w:val="center"/>
          </w:tcPr>
          <w:p w:rsidR="00501D29" w:rsidRPr="000E4071" w:rsidRDefault="00501D29" w:rsidP="002304DF">
            <w:pPr>
              <w:jc w:val="right"/>
              <w:rPr>
                <w:b/>
                <w:sz w:val="26"/>
                <w:szCs w:val="26"/>
              </w:rPr>
            </w:pPr>
            <w:r w:rsidRPr="000E4071">
              <w:rPr>
                <w:b/>
                <w:sz w:val="26"/>
                <w:szCs w:val="26"/>
              </w:rPr>
              <w:lastRenderedPageBreak/>
              <w:t>Kopā</w:t>
            </w:r>
          </w:p>
        </w:tc>
        <w:tc>
          <w:tcPr>
            <w:tcW w:w="2669" w:type="dxa"/>
            <w:vAlign w:val="center"/>
          </w:tcPr>
          <w:p w:rsidR="00501D29" w:rsidRPr="000E4071" w:rsidRDefault="00501D29" w:rsidP="002304DF">
            <w:pPr>
              <w:jc w:val="center"/>
              <w:rPr>
                <w:b/>
                <w:sz w:val="26"/>
                <w:szCs w:val="26"/>
              </w:rPr>
            </w:pPr>
            <w:r w:rsidRPr="000E4071">
              <w:rPr>
                <w:b/>
                <w:sz w:val="26"/>
                <w:szCs w:val="26"/>
              </w:rPr>
              <w:t>836</w:t>
            </w:r>
          </w:p>
        </w:tc>
      </w:tr>
    </w:tbl>
    <w:p w:rsidR="00501D29" w:rsidRPr="000E4071" w:rsidRDefault="00501D29" w:rsidP="00501D29">
      <w:pPr>
        <w:rPr>
          <w:szCs w:val="24"/>
        </w:rPr>
      </w:pPr>
    </w:p>
    <w:p w:rsidR="00501D29" w:rsidRPr="000E4071" w:rsidRDefault="00501D29" w:rsidP="00501D29">
      <w:pPr>
        <w:rPr>
          <w:szCs w:val="24"/>
        </w:rPr>
      </w:pPr>
    </w:p>
    <w:p w:rsidR="00501D29" w:rsidRPr="000E4071" w:rsidRDefault="00501D29" w:rsidP="00501D29">
      <w:pPr>
        <w:jc w:val="right"/>
        <w:rPr>
          <w:sz w:val="26"/>
          <w:szCs w:val="26"/>
        </w:rPr>
      </w:pPr>
      <w:r w:rsidRPr="000E4071">
        <w:rPr>
          <w:sz w:val="26"/>
          <w:szCs w:val="26"/>
        </w:rPr>
        <w:t>4.attēls</w:t>
      </w:r>
    </w:p>
    <w:p w:rsidR="00501D29" w:rsidRPr="000E4071" w:rsidRDefault="00501D29" w:rsidP="00501D29">
      <w:pPr>
        <w:jc w:val="center"/>
        <w:rPr>
          <w:bCs/>
          <w:sz w:val="26"/>
          <w:szCs w:val="26"/>
        </w:rPr>
      </w:pPr>
      <w:r w:rsidRPr="000E4071">
        <w:rPr>
          <w:bCs/>
          <w:sz w:val="26"/>
          <w:szCs w:val="26"/>
        </w:rPr>
        <w:t xml:space="preserve">Studiju programmu sadalījums pa programmu grupām un studiju virzieniem saskaņā ar kvantitatīvajiem datiem </w:t>
      </w:r>
    </w:p>
    <w:p w:rsidR="00501D29" w:rsidRPr="000E4071" w:rsidRDefault="00501D29" w:rsidP="00501D29">
      <w:pPr>
        <w:ind w:left="-709"/>
        <w:rPr>
          <w:szCs w:val="24"/>
        </w:rPr>
      </w:pPr>
      <w:r w:rsidRPr="000E4071">
        <w:rPr>
          <w:noProof/>
          <w:szCs w:val="24"/>
        </w:rPr>
        <w:drawing>
          <wp:inline distT="0" distB="0" distL="0" distR="0" wp14:anchorId="7CF7856A" wp14:editId="3EC63D60">
            <wp:extent cx="6562725" cy="411480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1D29" w:rsidRPr="000E4071" w:rsidRDefault="00501D29" w:rsidP="00501D29">
      <w:pPr>
        <w:rPr>
          <w:szCs w:val="24"/>
        </w:rPr>
      </w:pPr>
    </w:p>
    <w:p w:rsidR="00501D29" w:rsidRPr="000E4071" w:rsidRDefault="00501D29" w:rsidP="00501D29">
      <w:pPr>
        <w:jc w:val="both"/>
        <w:rPr>
          <w:sz w:val="26"/>
          <w:szCs w:val="26"/>
        </w:rPr>
      </w:pPr>
      <w:r w:rsidRPr="000E4071">
        <w:rPr>
          <w:sz w:val="26"/>
          <w:szCs w:val="26"/>
        </w:rPr>
        <w:t>Saskaņā ar ekspertu kvantitatīvajiem vērtējumiem un ministrijas izmantoto metodoloģiju A grupā ir iekļautas 389 studiju programmas, kas veido 46% no kopējā programmu skaita,  B grupā ir iekļautas 264 programmas (32% no kopējā skaita) un C grupā – 183 programmas (22% no kopējā skaita).</w:t>
      </w:r>
    </w:p>
    <w:p w:rsidR="00501D29" w:rsidRPr="000E4071" w:rsidRDefault="00501D29" w:rsidP="00501D29">
      <w:pPr>
        <w:jc w:val="both"/>
        <w:rPr>
          <w:szCs w:val="24"/>
        </w:rPr>
      </w:pPr>
    </w:p>
    <w:p w:rsidR="00501D29" w:rsidRPr="000E4071" w:rsidRDefault="00501D29" w:rsidP="00501D29">
      <w:pPr>
        <w:jc w:val="both"/>
        <w:rPr>
          <w:sz w:val="26"/>
          <w:szCs w:val="26"/>
        </w:rPr>
      </w:pPr>
      <w:r w:rsidRPr="000E4071">
        <w:rPr>
          <w:sz w:val="26"/>
          <w:szCs w:val="26"/>
        </w:rPr>
        <w:t>Šāds novērtējuma sadalījums ir tieši atkarīgs no ekspertu sniegtā katra atsevišķa  kritērija vērtējuma.</w:t>
      </w:r>
    </w:p>
    <w:p w:rsidR="00501D29" w:rsidRPr="000E4071" w:rsidRDefault="00501D29" w:rsidP="00501D29">
      <w:pPr>
        <w:tabs>
          <w:tab w:val="left" w:pos="960"/>
        </w:tabs>
        <w:jc w:val="right"/>
        <w:rPr>
          <w:sz w:val="26"/>
          <w:szCs w:val="26"/>
        </w:rPr>
      </w:pPr>
      <w:r w:rsidRPr="000E4071">
        <w:rPr>
          <w:sz w:val="26"/>
          <w:szCs w:val="26"/>
        </w:rPr>
        <w:t xml:space="preserve">5.attēls </w:t>
      </w:r>
    </w:p>
    <w:p w:rsidR="00501D29" w:rsidRPr="000E4071" w:rsidRDefault="00501D29" w:rsidP="00501D29">
      <w:pPr>
        <w:tabs>
          <w:tab w:val="left" w:pos="960"/>
        </w:tabs>
        <w:jc w:val="center"/>
        <w:rPr>
          <w:sz w:val="26"/>
          <w:szCs w:val="26"/>
        </w:rPr>
      </w:pPr>
      <w:r w:rsidRPr="000E4071">
        <w:rPr>
          <w:sz w:val="26"/>
          <w:szCs w:val="26"/>
        </w:rPr>
        <w:t>Ekspertu vērtējumu sadalījums pa vērtējumiem ballēs</w:t>
      </w:r>
    </w:p>
    <w:p w:rsidR="00501D29" w:rsidRPr="000E4071" w:rsidRDefault="00501D29" w:rsidP="00501D29">
      <w:pPr>
        <w:jc w:val="center"/>
        <w:rPr>
          <w:szCs w:val="24"/>
        </w:rPr>
      </w:pPr>
      <w:r w:rsidRPr="000E4071">
        <w:rPr>
          <w:noProof/>
          <w:szCs w:val="24"/>
        </w:rPr>
        <w:lastRenderedPageBreak/>
        <w:drawing>
          <wp:inline distT="0" distB="0" distL="0" distR="0" wp14:anchorId="562D6E1B" wp14:editId="27E5E0AB">
            <wp:extent cx="3971925" cy="19240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985120" cy="1930442"/>
                    </a:xfrm>
                    <a:prstGeom prst="rect">
                      <a:avLst/>
                    </a:prstGeom>
                    <a:noFill/>
                    <a:ln w="9525">
                      <a:noFill/>
                      <a:miter lim="800000"/>
                      <a:headEnd/>
                      <a:tailEnd/>
                    </a:ln>
                  </pic:spPr>
                </pic:pic>
              </a:graphicData>
            </a:graphic>
          </wp:inline>
        </w:drawing>
      </w:r>
    </w:p>
    <w:p w:rsidR="00501D29" w:rsidRPr="000E4071" w:rsidRDefault="00501D29" w:rsidP="00501D29">
      <w:pPr>
        <w:rPr>
          <w:szCs w:val="24"/>
        </w:rPr>
      </w:pPr>
    </w:p>
    <w:p w:rsidR="00501D29" w:rsidRPr="000E4071" w:rsidRDefault="00501D29" w:rsidP="00501D29">
      <w:pPr>
        <w:jc w:val="both"/>
        <w:rPr>
          <w:sz w:val="26"/>
          <w:szCs w:val="26"/>
        </w:rPr>
      </w:pPr>
      <w:r w:rsidRPr="000E4071">
        <w:rPr>
          <w:sz w:val="26"/>
          <w:szCs w:val="26"/>
        </w:rPr>
        <w:t>5.attēlā ir atspoguļots ekspertu vērtējumu sadalījums. Aplūkojot kvalitātes izvērtēšanas rādītāju kopumu, secināms, ka puse rādītāju ir ar vidējo vērtību virs 3.4 no 4 un standartnovirzi mazāku par 0.9. Līdz ar to var secināt, ka vairākos rādītājos izvērtētāji ir visbiežāk piešķīruši maksimālo atzīmi un tikai izņēmuma gadījumos piešķīruši kaut ko citu. Normālā gadījumā lielākajam novērtējumu skaitam vajadzēja būt ap rādītāju “2” un samazināties uz abiem skalas galiem.</w:t>
      </w:r>
    </w:p>
    <w:p w:rsidR="00501D29" w:rsidRPr="000E4071" w:rsidRDefault="00501D29" w:rsidP="00501D29">
      <w:pPr>
        <w:jc w:val="both"/>
        <w:rPr>
          <w:sz w:val="26"/>
          <w:szCs w:val="26"/>
        </w:rPr>
      </w:pPr>
    </w:p>
    <w:p w:rsidR="00501D29" w:rsidRPr="000E4071" w:rsidRDefault="00501D29" w:rsidP="00501D29">
      <w:pPr>
        <w:rPr>
          <w:sz w:val="26"/>
          <w:szCs w:val="26"/>
        </w:rPr>
      </w:pPr>
      <w:r w:rsidRPr="000E4071">
        <w:rPr>
          <w:b/>
          <w:sz w:val="26"/>
          <w:szCs w:val="26"/>
        </w:rPr>
        <w:t>Visaugstāk</w:t>
      </w:r>
      <w:r w:rsidRPr="000E4071">
        <w:rPr>
          <w:sz w:val="26"/>
          <w:szCs w:val="26"/>
        </w:rPr>
        <w:t xml:space="preserve"> novērtēto kritēriju tops 10:</w:t>
      </w:r>
    </w:p>
    <w:p w:rsidR="00501D29" w:rsidRPr="000E4071" w:rsidRDefault="00501D29" w:rsidP="00501D29">
      <w:pPr>
        <w:rPr>
          <w:sz w:val="26"/>
          <w:szCs w:val="26"/>
        </w:rPr>
      </w:pPr>
    </w:p>
    <w:tbl>
      <w:tblPr>
        <w:tblW w:w="8681" w:type="dxa"/>
        <w:tblInd w:w="93" w:type="dxa"/>
        <w:tblBorders>
          <w:insideH w:val="single" w:sz="4" w:space="0" w:color="auto"/>
          <w:insideV w:val="single" w:sz="4" w:space="0" w:color="auto"/>
        </w:tblBorders>
        <w:tblLook w:val="04A0" w:firstRow="1" w:lastRow="0" w:firstColumn="1" w:lastColumn="0" w:noHBand="0" w:noVBand="1"/>
      </w:tblPr>
      <w:tblGrid>
        <w:gridCol w:w="7283"/>
        <w:gridCol w:w="1415"/>
      </w:tblGrid>
      <w:tr w:rsidR="00501D29" w:rsidRPr="000E4071" w:rsidTr="002304DF">
        <w:trPr>
          <w:trHeight w:val="300"/>
        </w:trPr>
        <w:tc>
          <w:tcPr>
            <w:tcW w:w="7283" w:type="dxa"/>
            <w:shd w:val="clear" w:color="auto" w:fill="auto"/>
            <w:noWrap/>
            <w:vAlign w:val="center"/>
            <w:hideMark/>
          </w:tcPr>
          <w:p w:rsidR="00501D29" w:rsidRPr="000E4071" w:rsidRDefault="00501D29" w:rsidP="002304DF">
            <w:pPr>
              <w:jc w:val="center"/>
              <w:rPr>
                <w:b/>
                <w:sz w:val="26"/>
                <w:szCs w:val="26"/>
              </w:rPr>
            </w:pPr>
            <w:r w:rsidRPr="000E4071">
              <w:rPr>
                <w:b/>
                <w:sz w:val="26"/>
                <w:szCs w:val="26"/>
              </w:rPr>
              <w:t>Kritērijs</w:t>
            </w:r>
          </w:p>
        </w:tc>
        <w:tc>
          <w:tcPr>
            <w:tcW w:w="1398" w:type="dxa"/>
            <w:shd w:val="clear" w:color="auto" w:fill="auto"/>
            <w:noWrap/>
            <w:vAlign w:val="bottom"/>
            <w:hideMark/>
          </w:tcPr>
          <w:p w:rsidR="00501D29" w:rsidRPr="000E4071" w:rsidRDefault="00501D29" w:rsidP="002304DF">
            <w:pPr>
              <w:jc w:val="center"/>
              <w:rPr>
                <w:b/>
                <w:sz w:val="26"/>
                <w:szCs w:val="26"/>
              </w:rPr>
            </w:pPr>
            <w:r w:rsidRPr="000E4071">
              <w:rPr>
                <w:b/>
                <w:sz w:val="26"/>
                <w:szCs w:val="26"/>
              </w:rPr>
              <w:t>Vērtējuma ‘četri’ skaits</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K3  Finanšu resursu izmantošana tiek regulāri kontrolēta.</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689</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K10  Tiek nodrošināta palīdzība un akadēmiskā personāla konsultācijas studējošiem, kā arī notiek starprezultātu pārbaude, lai studiju procesā nodrošinātu studiju programmas rezultātu sasniegšanu paredzētajā laikā un studēšanas motivācijas paaugstināšanu.</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674</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K13 Izveidoti konfliktu novēršanas, problēmu risināšanas un saskaņošanas mehānismi.</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655</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 xml:space="preserve">K6 Tiek analizēti studējošo studiju rezultāti, akadēmiskais personāls tiek informēts par tiem. </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645</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K18 Ir ieviesta iekšējā kvalitātes nodrošināšanas sistēma un tā atbilst ENQA izstrādāto Eiropas standartu un vadlīniju kvalitātes nodrošināšanai augstākajā izglītībā (ESG) prasībām.</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642</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K24 Administratīvā un tehniskā personāla atbalsts ir pietiekams, lai nodrošinātu studiju rezultātu sasniegšanu.</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631</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K11 Studējošo sasniegumu vērtēšanas standarti, noteikumi un / vai prasības ir skaidras un pieejamas.</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627</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 xml:space="preserve">K2 Studiju programmas saturs un iegūstamā kvalifikācija atbilst studiju programmas nosaukumam. </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626</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 xml:space="preserve">K30 Studiju programmas īstenošanas gaitā studējošiem ir nodrošināta individuāla pieeja un atgriezeniskā saite. </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t>615</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 xml:space="preserve">K1 Studiju programmas mērķi, uzdevumi un studiju rezultāti ir skaidri, sasniedzami un pārbaudāmi un ir saskaņā ar AII </w:t>
            </w:r>
            <w:r w:rsidRPr="000E4071">
              <w:rPr>
                <w:sz w:val="26"/>
                <w:szCs w:val="26"/>
              </w:rPr>
              <w:lastRenderedPageBreak/>
              <w:t xml:space="preserve">izvirzītajiem mērķiem un uzdevumiem. </w:t>
            </w:r>
          </w:p>
        </w:tc>
        <w:tc>
          <w:tcPr>
            <w:tcW w:w="1398" w:type="dxa"/>
            <w:shd w:val="clear" w:color="auto" w:fill="auto"/>
            <w:noWrap/>
            <w:vAlign w:val="center"/>
            <w:hideMark/>
          </w:tcPr>
          <w:p w:rsidR="00501D29" w:rsidRPr="000E4071" w:rsidRDefault="00501D29" w:rsidP="002304DF">
            <w:pPr>
              <w:jc w:val="center"/>
              <w:rPr>
                <w:sz w:val="26"/>
                <w:szCs w:val="26"/>
              </w:rPr>
            </w:pPr>
            <w:r w:rsidRPr="000E4071">
              <w:rPr>
                <w:sz w:val="26"/>
                <w:szCs w:val="26"/>
              </w:rPr>
              <w:lastRenderedPageBreak/>
              <w:t>614</w:t>
            </w:r>
          </w:p>
        </w:tc>
      </w:tr>
    </w:tbl>
    <w:p w:rsidR="00501D29" w:rsidRPr="000E4071" w:rsidRDefault="00501D29" w:rsidP="00501D29">
      <w:pPr>
        <w:rPr>
          <w:rFonts w:asciiTheme="minorHAnsi" w:hAnsiTheme="minorHAnsi"/>
          <w:b/>
          <w:sz w:val="26"/>
          <w:szCs w:val="26"/>
        </w:rPr>
      </w:pPr>
    </w:p>
    <w:p w:rsidR="00501D29" w:rsidRPr="000E4071" w:rsidRDefault="00501D29" w:rsidP="00501D29">
      <w:pPr>
        <w:rPr>
          <w:rFonts w:asciiTheme="minorHAnsi" w:hAnsiTheme="minorHAnsi"/>
          <w:b/>
          <w:sz w:val="26"/>
          <w:szCs w:val="26"/>
        </w:rPr>
      </w:pPr>
    </w:p>
    <w:p w:rsidR="00501D29" w:rsidRPr="000E4071" w:rsidRDefault="00501D29" w:rsidP="00501D29">
      <w:pPr>
        <w:rPr>
          <w:sz w:val="26"/>
          <w:szCs w:val="26"/>
        </w:rPr>
      </w:pPr>
      <w:r w:rsidRPr="000E4071">
        <w:rPr>
          <w:b/>
          <w:sz w:val="26"/>
          <w:szCs w:val="26"/>
        </w:rPr>
        <w:t>Viszemāk</w:t>
      </w:r>
      <w:r w:rsidRPr="000E4071">
        <w:rPr>
          <w:sz w:val="26"/>
          <w:szCs w:val="26"/>
        </w:rPr>
        <w:t xml:space="preserve"> novērtēto kritēriju tops 10:</w:t>
      </w:r>
    </w:p>
    <w:tbl>
      <w:tblPr>
        <w:tblW w:w="8662" w:type="dxa"/>
        <w:tblInd w:w="93" w:type="dxa"/>
        <w:tblBorders>
          <w:insideH w:val="single" w:sz="4" w:space="0" w:color="auto"/>
          <w:insideV w:val="single" w:sz="4" w:space="0" w:color="auto"/>
        </w:tblBorders>
        <w:tblLook w:val="04A0" w:firstRow="1" w:lastRow="0" w:firstColumn="1" w:lastColumn="0" w:noHBand="0" w:noVBand="1"/>
      </w:tblPr>
      <w:tblGrid>
        <w:gridCol w:w="7283"/>
        <w:gridCol w:w="1415"/>
      </w:tblGrid>
      <w:tr w:rsidR="00501D29" w:rsidRPr="000E4071" w:rsidTr="002304DF">
        <w:trPr>
          <w:trHeight w:val="300"/>
        </w:trPr>
        <w:tc>
          <w:tcPr>
            <w:tcW w:w="7283" w:type="dxa"/>
            <w:shd w:val="clear" w:color="auto" w:fill="auto"/>
            <w:noWrap/>
            <w:vAlign w:val="center"/>
            <w:hideMark/>
          </w:tcPr>
          <w:p w:rsidR="00501D29" w:rsidRPr="000E4071" w:rsidRDefault="00501D29" w:rsidP="002304DF">
            <w:pPr>
              <w:jc w:val="center"/>
              <w:rPr>
                <w:b/>
                <w:sz w:val="26"/>
                <w:szCs w:val="26"/>
              </w:rPr>
            </w:pPr>
            <w:r w:rsidRPr="000E4071">
              <w:rPr>
                <w:b/>
                <w:sz w:val="26"/>
                <w:szCs w:val="26"/>
              </w:rPr>
              <w:t>Kritērijs</w:t>
            </w:r>
          </w:p>
        </w:tc>
        <w:tc>
          <w:tcPr>
            <w:tcW w:w="1379" w:type="dxa"/>
            <w:shd w:val="clear" w:color="auto" w:fill="auto"/>
            <w:noWrap/>
            <w:vAlign w:val="center"/>
            <w:hideMark/>
          </w:tcPr>
          <w:p w:rsidR="00501D29" w:rsidRPr="000E4071" w:rsidRDefault="00501D29" w:rsidP="002304DF">
            <w:pPr>
              <w:jc w:val="center"/>
              <w:rPr>
                <w:b/>
                <w:sz w:val="26"/>
                <w:szCs w:val="26"/>
              </w:rPr>
            </w:pPr>
            <w:r w:rsidRPr="000E4071">
              <w:rPr>
                <w:b/>
                <w:sz w:val="26"/>
                <w:szCs w:val="26"/>
              </w:rPr>
              <w:t>Vērtējuma ‘viens’ skaits</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K53 Tiek veidota vai ir plānots veidot kopīgu programmu ar kādu no AII.</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106</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  Studējošiem ir iespējas apgūt atsevišķus moduļus, priekšmetus un/vai iziet praksi (pilnībā vai daļēji) citu Latvijas AII studiju programmās.</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46</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K52 Studiju saturā ir īpaši izdalīti kursi, prakses un pētījumi, kas tiek piedāvāti un izmantoti apgūšanai citu Latvijas AII studiju programmu studējošiem.</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44</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K42 Pētniecības darba rezultātu publicēšana notiek starptautiski pieejamos un recenzējamos izdevumos (radošā darba rezultāti tiek publiskoti izstādēs, skatēs, koncertos, iestudējumos u.tml.); notiek zinātniskās pētniecības un radošā darba rezultātu praktiska izmantošana, iekļaujoties inovatīvā darbībā.</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41</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K59 Studiju programmas darbības rezultātu iekšējā izvērtēšanā ir iesaistīts citu Latvijas un ārvalstu studiju programmu/AII akadēmiskais personāls.</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34</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K55 Tiek īstenoti vai ir plānoti studējošo un akadēmiskā personāla mobilitātes, kā arī ārvalstu studējošo un ārvalstu mācībspēku piesaistes projekti.</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32</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K57 Tiek īstenoti speciāli kursi, semināri vai citi pasākumi, t.sk. skaitā angļu valodas kursi akadēmiskajam personālam, kurš pasniedz lekcijas ārvalstu studentiem.</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30</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K62 Studiju programmā iesaistītie mācībspēki piedalās citu studiju programmu un AII vērtēšanā un pilnveidošanā (kā eksperti un/vai kā viesprofesori).</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30</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K54 Ir izstrādāti studējošo mobilitātes un ārvalstu studējošo piesaistīšanas plāni / projekti (t.sk. tiek veidota vai ir plānots veidot studiju programmu, sagatavoti moduļi, kursi, prakses un pētījumi ārvalstu studentiem angļu vai citā svešvalodā, tiek veikti reklāmas un cita veida pasākumi ārvalstu studentu piesaistīšanai), un ir noslēgti līgumi par studējošo un mācībspēku mobilitāti ar ārvalstu AII.</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30</w:t>
            </w:r>
          </w:p>
        </w:tc>
      </w:tr>
      <w:tr w:rsidR="00501D29" w:rsidRPr="000E4071" w:rsidTr="002304DF">
        <w:trPr>
          <w:trHeight w:val="300"/>
        </w:trPr>
        <w:tc>
          <w:tcPr>
            <w:tcW w:w="7283" w:type="dxa"/>
            <w:shd w:val="clear" w:color="auto" w:fill="auto"/>
            <w:noWrap/>
            <w:vAlign w:val="bottom"/>
            <w:hideMark/>
          </w:tcPr>
          <w:p w:rsidR="00501D29" w:rsidRPr="000E4071" w:rsidRDefault="00501D29" w:rsidP="002304DF">
            <w:pPr>
              <w:rPr>
                <w:sz w:val="26"/>
                <w:szCs w:val="26"/>
              </w:rPr>
            </w:pPr>
            <w:r w:rsidRPr="000E4071">
              <w:rPr>
                <w:sz w:val="26"/>
                <w:szCs w:val="26"/>
              </w:rPr>
              <w:t>K51 Studējošiem ir iespējas apgūt atsevišķus moduļus, priekšmetus un/vai iziet praksi (pilnībā vai daļēji) citu ārvalstu AII studiju programmās, piemēram, ir sadarbības līgumi par kopīgu SP un / vai moduļu īstenošanu, par docētāju apmaiņu.</w:t>
            </w:r>
          </w:p>
        </w:tc>
        <w:tc>
          <w:tcPr>
            <w:tcW w:w="1379" w:type="dxa"/>
            <w:shd w:val="clear" w:color="auto" w:fill="auto"/>
            <w:noWrap/>
            <w:vAlign w:val="center"/>
            <w:hideMark/>
          </w:tcPr>
          <w:p w:rsidR="00501D29" w:rsidRPr="000E4071" w:rsidRDefault="00501D29" w:rsidP="002304DF">
            <w:pPr>
              <w:jc w:val="center"/>
              <w:rPr>
                <w:sz w:val="26"/>
                <w:szCs w:val="26"/>
              </w:rPr>
            </w:pPr>
            <w:r w:rsidRPr="000E4071">
              <w:rPr>
                <w:sz w:val="26"/>
                <w:szCs w:val="26"/>
              </w:rPr>
              <w:t>29</w:t>
            </w:r>
          </w:p>
        </w:tc>
      </w:tr>
    </w:tbl>
    <w:p w:rsidR="00501D29" w:rsidRPr="000E4071" w:rsidRDefault="00501D29" w:rsidP="00335978">
      <w:pPr>
        <w:jc w:val="right"/>
        <w:rPr>
          <w:sz w:val="26"/>
          <w:szCs w:val="26"/>
        </w:rPr>
      </w:pPr>
    </w:p>
    <w:sectPr w:rsidR="00501D29" w:rsidRPr="000E4071" w:rsidSect="007965B4">
      <w:footerReference w:type="default" r:id="rId16"/>
      <w:pgSz w:w="11906" w:h="16838"/>
      <w:pgMar w:top="1440" w:right="1559"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15" w:rsidRDefault="00E03015" w:rsidP="002E6836">
      <w:r>
        <w:separator/>
      </w:r>
    </w:p>
  </w:endnote>
  <w:endnote w:type="continuationSeparator" w:id="0">
    <w:p w:rsidR="00E03015" w:rsidRDefault="00E03015" w:rsidP="002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347"/>
      <w:docPartObj>
        <w:docPartGallery w:val="Page Numbers (Bottom of Page)"/>
        <w:docPartUnique/>
      </w:docPartObj>
    </w:sdtPr>
    <w:sdtEndPr/>
    <w:sdtContent>
      <w:p w:rsidR="00C6071D" w:rsidRDefault="00C6071D">
        <w:pPr>
          <w:pStyle w:val="Footer"/>
          <w:jc w:val="center"/>
        </w:pPr>
        <w:r w:rsidRPr="00C435F8">
          <w:rPr>
            <w:rFonts w:asciiTheme="minorHAnsi" w:hAnsiTheme="minorHAnsi"/>
            <w:sz w:val="16"/>
            <w:szCs w:val="16"/>
          </w:rPr>
          <w:fldChar w:fldCharType="begin"/>
        </w:r>
        <w:r w:rsidRPr="00C435F8">
          <w:rPr>
            <w:rFonts w:asciiTheme="minorHAnsi" w:hAnsiTheme="minorHAnsi"/>
            <w:sz w:val="16"/>
            <w:szCs w:val="16"/>
          </w:rPr>
          <w:instrText xml:space="preserve"> PAGE   \* MERGEFORMAT </w:instrText>
        </w:r>
        <w:r w:rsidRPr="00C435F8">
          <w:rPr>
            <w:rFonts w:asciiTheme="minorHAnsi" w:hAnsiTheme="minorHAnsi"/>
            <w:sz w:val="16"/>
            <w:szCs w:val="16"/>
          </w:rPr>
          <w:fldChar w:fldCharType="separate"/>
        </w:r>
        <w:r w:rsidR="00501D29">
          <w:rPr>
            <w:rFonts w:asciiTheme="minorHAnsi" w:hAnsiTheme="minorHAnsi"/>
            <w:noProof/>
            <w:sz w:val="16"/>
            <w:szCs w:val="16"/>
          </w:rPr>
          <w:t>1</w:t>
        </w:r>
        <w:r w:rsidRPr="00C435F8">
          <w:rPr>
            <w:rFonts w:asciiTheme="minorHAnsi" w:hAnsiTheme="minorHAnsi"/>
            <w:sz w:val="16"/>
            <w:szCs w:val="16"/>
          </w:rPr>
          <w:fldChar w:fldCharType="end"/>
        </w:r>
      </w:p>
    </w:sdtContent>
  </w:sdt>
  <w:p w:rsidR="00C6071D" w:rsidRDefault="00C6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15" w:rsidRDefault="00E03015" w:rsidP="002E6836">
      <w:r>
        <w:separator/>
      </w:r>
    </w:p>
  </w:footnote>
  <w:footnote w:type="continuationSeparator" w:id="0">
    <w:p w:rsidR="00E03015" w:rsidRDefault="00E03015" w:rsidP="002E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054"/>
    <w:multiLevelType w:val="hybridMultilevel"/>
    <w:tmpl w:val="67105D62"/>
    <w:lvl w:ilvl="0" w:tplc="674A1384">
      <w:start w:val="1"/>
      <w:numFmt w:val="bullet"/>
      <w:lvlText w:val="­"/>
      <w:lvlJc w:val="left"/>
      <w:pPr>
        <w:ind w:left="2205" w:hanging="360"/>
      </w:pPr>
      <w:rPr>
        <w:rFonts w:ascii="Courier New" w:hAnsi="Courier New" w:hint="default"/>
      </w:rPr>
    </w:lvl>
    <w:lvl w:ilvl="1" w:tplc="674A1384">
      <w:start w:val="1"/>
      <w:numFmt w:val="bullet"/>
      <w:lvlText w:val="­"/>
      <w:lvlJc w:val="left"/>
      <w:pPr>
        <w:ind w:left="2925" w:hanging="360"/>
      </w:pPr>
      <w:rPr>
        <w:rFonts w:ascii="Courier New" w:hAnsi="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1">
    <w:nsid w:val="0A353949"/>
    <w:multiLevelType w:val="hybridMultilevel"/>
    <w:tmpl w:val="E1D064E2"/>
    <w:lvl w:ilvl="0" w:tplc="04260001">
      <w:start w:val="1"/>
      <w:numFmt w:val="bullet"/>
      <w:lvlText w:val=""/>
      <w:lvlJc w:val="left"/>
      <w:pPr>
        <w:ind w:left="2205" w:hanging="360"/>
      </w:pPr>
      <w:rPr>
        <w:rFonts w:ascii="Symbol" w:hAnsi="Symbol" w:hint="default"/>
      </w:rPr>
    </w:lvl>
    <w:lvl w:ilvl="1" w:tplc="674A1384">
      <w:start w:val="1"/>
      <w:numFmt w:val="bullet"/>
      <w:lvlText w:val="­"/>
      <w:lvlJc w:val="left"/>
      <w:pPr>
        <w:ind w:left="2925" w:hanging="360"/>
      </w:pPr>
      <w:rPr>
        <w:rFonts w:ascii="Courier New" w:hAnsi="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2">
    <w:nsid w:val="0B294DB4"/>
    <w:multiLevelType w:val="hybridMultilevel"/>
    <w:tmpl w:val="AFDE64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432E7C"/>
    <w:multiLevelType w:val="hybridMultilevel"/>
    <w:tmpl w:val="106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6B2"/>
    <w:multiLevelType w:val="hybridMultilevel"/>
    <w:tmpl w:val="72382CBE"/>
    <w:lvl w:ilvl="0" w:tplc="7A48866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61C0E"/>
    <w:multiLevelType w:val="hybridMultilevel"/>
    <w:tmpl w:val="A5D2F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949E5"/>
    <w:multiLevelType w:val="multilevel"/>
    <w:tmpl w:val="74623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F4F7904"/>
    <w:multiLevelType w:val="hybridMultilevel"/>
    <w:tmpl w:val="90720864"/>
    <w:lvl w:ilvl="0" w:tplc="1B5AB9A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86EBD"/>
    <w:multiLevelType w:val="hybridMultilevel"/>
    <w:tmpl w:val="C5A290D0"/>
    <w:lvl w:ilvl="0" w:tplc="F86268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44BDC"/>
    <w:multiLevelType w:val="multilevel"/>
    <w:tmpl w:val="E0220924"/>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16149DE"/>
    <w:multiLevelType w:val="hybridMultilevel"/>
    <w:tmpl w:val="D9067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501277"/>
    <w:multiLevelType w:val="hybridMultilevel"/>
    <w:tmpl w:val="5EE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975A6"/>
    <w:multiLevelType w:val="hybridMultilevel"/>
    <w:tmpl w:val="5328B674"/>
    <w:lvl w:ilvl="0" w:tplc="674A1384">
      <w:start w:val="1"/>
      <w:numFmt w:val="bullet"/>
      <w:lvlText w:val="­"/>
      <w:lvlJc w:val="left"/>
      <w:pPr>
        <w:ind w:left="2925" w:hanging="360"/>
      </w:pPr>
      <w:rPr>
        <w:rFonts w:ascii="Courier New" w:hAnsi="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71E5A2A"/>
    <w:multiLevelType w:val="hybridMultilevel"/>
    <w:tmpl w:val="0DF4C6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BA0C08E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8252EA"/>
    <w:multiLevelType w:val="hybridMultilevel"/>
    <w:tmpl w:val="74B4AC40"/>
    <w:lvl w:ilvl="0" w:tplc="674A1384">
      <w:start w:val="1"/>
      <w:numFmt w:val="bullet"/>
      <w:lvlText w:val="­"/>
      <w:lvlJc w:val="left"/>
      <w:pPr>
        <w:ind w:left="2205" w:hanging="360"/>
      </w:pPr>
      <w:rPr>
        <w:rFonts w:ascii="Courier New" w:hAnsi="Courier New" w:hint="default"/>
      </w:rPr>
    </w:lvl>
    <w:lvl w:ilvl="1" w:tplc="04260003">
      <w:start w:val="1"/>
      <w:numFmt w:val="bullet"/>
      <w:lvlText w:val="o"/>
      <w:lvlJc w:val="left"/>
      <w:pPr>
        <w:ind w:left="2925" w:hanging="360"/>
      </w:pPr>
      <w:rPr>
        <w:rFonts w:ascii="Courier New" w:hAnsi="Courier New" w:cs="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15">
    <w:nsid w:val="2D391189"/>
    <w:multiLevelType w:val="hybridMultilevel"/>
    <w:tmpl w:val="D9CC12BE"/>
    <w:lvl w:ilvl="0" w:tplc="096A989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4413A"/>
    <w:multiLevelType w:val="hybridMultilevel"/>
    <w:tmpl w:val="CC184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30579CA"/>
    <w:multiLevelType w:val="hybridMultilevel"/>
    <w:tmpl w:val="B9F0D2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34AE2B64"/>
    <w:multiLevelType w:val="hybridMultilevel"/>
    <w:tmpl w:val="B290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25468B"/>
    <w:multiLevelType w:val="hybridMultilevel"/>
    <w:tmpl w:val="FDE4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66619"/>
    <w:multiLevelType w:val="hybridMultilevel"/>
    <w:tmpl w:val="1E12DA8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3DF77BF7"/>
    <w:multiLevelType w:val="hybridMultilevel"/>
    <w:tmpl w:val="2954D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0B2CCB"/>
    <w:multiLevelType w:val="hybridMultilevel"/>
    <w:tmpl w:val="37D421B6"/>
    <w:lvl w:ilvl="0" w:tplc="674A1384">
      <w:start w:val="1"/>
      <w:numFmt w:val="bullet"/>
      <w:lvlText w:val="­"/>
      <w:lvlJc w:val="left"/>
      <w:pPr>
        <w:ind w:left="2205" w:hanging="360"/>
      </w:pPr>
      <w:rPr>
        <w:rFonts w:ascii="Courier New" w:hAnsi="Courier New" w:hint="default"/>
      </w:rPr>
    </w:lvl>
    <w:lvl w:ilvl="1" w:tplc="674A1384">
      <w:start w:val="1"/>
      <w:numFmt w:val="bullet"/>
      <w:lvlText w:val="­"/>
      <w:lvlJc w:val="left"/>
      <w:pPr>
        <w:ind w:left="2925" w:hanging="360"/>
      </w:pPr>
      <w:rPr>
        <w:rFonts w:ascii="Courier New" w:hAnsi="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23">
    <w:nsid w:val="42211E1D"/>
    <w:multiLevelType w:val="hybridMultilevel"/>
    <w:tmpl w:val="5016C71E"/>
    <w:lvl w:ilvl="0" w:tplc="6108FE10">
      <w:start w:val="1"/>
      <w:numFmt w:val="decimal"/>
      <w:lvlText w:val="%1."/>
      <w:lvlJc w:val="left"/>
      <w:pPr>
        <w:ind w:left="2925" w:hanging="360"/>
      </w:pPr>
      <w:rPr>
        <w:rFonts w:hint="default"/>
      </w:rPr>
    </w:lvl>
    <w:lvl w:ilvl="1" w:tplc="04260019" w:tentative="1">
      <w:start w:val="1"/>
      <w:numFmt w:val="lowerLetter"/>
      <w:lvlText w:val="%2."/>
      <w:lvlJc w:val="left"/>
      <w:pPr>
        <w:ind w:left="3645" w:hanging="360"/>
      </w:pPr>
    </w:lvl>
    <w:lvl w:ilvl="2" w:tplc="0426001B" w:tentative="1">
      <w:start w:val="1"/>
      <w:numFmt w:val="lowerRoman"/>
      <w:lvlText w:val="%3."/>
      <w:lvlJc w:val="right"/>
      <w:pPr>
        <w:ind w:left="4365" w:hanging="180"/>
      </w:pPr>
    </w:lvl>
    <w:lvl w:ilvl="3" w:tplc="0426000F" w:tentative="1">
      <w:start w:val="1"/>
      <w:numFmt w:val="decimal"/>
      <w:lvlText w:val="%4."/>
      <w:lvlJc w:val="left"/>
      <w:pPr>
        <w:ind w:left="5085" w:hanging="360"/>
      </w:pPr>
    </w:lvl>
    <w:lvl w:ilvl="4" w:tplc="04260019" w:tentative="1">
      <w:start w:val="1"/>
      <w:numFmt w:val="lowerLetter"/>
      <w:lvlText w:val="%5."/>
      <w:lvlJc w:val="left"/>
      <w:pPr>
        <w:ind w:left="5805" w:hanging="360"/>
      </w:pPr>
    </w:lvl>
    <w:lvl w:ilvl="5" w:tplc="0426001B" w:tentative="1">
      <w:start w:val="1"/>
      <w:numFmt w:val="lowerRoman"/>
      <w:lvlText w:val="%6."/>
      <w:lvlJc w:val="right"/>
      <w:pPr>
        <w:ind w:left="6525" w:hanging="180"/>
      </w:pPr>
    </w:lvl>
    <w:lvl w:ilvl="6" w:tplc="0426000F" w:tentative="1">
      <w:start w:val="1"/>
      <w:numFmt w:val="decimal"/>
      <w:lvlText w:val="%7."/>
      <w:lvlJc w:val="left"/>
      <w:pPr>
        <w:ind w:left="7245" w:hanging="360"/>
      </w:pPr>
    </w:lvl>
    <w:lvl w:ilvl="7" w:tplc="04260019" w:tentative="1">
      <w:start w:val="1"/>
      <w:numFmt w:val="lowerLetter"/>
      <w:lvlText w:val="%8."/>
      <w:lvlJc w:val="left"/>
      <w:pPr>
        <w:ind w:left="7965" w:hanging="360"/>
      </w:pPr>
    </w:lvl>
    <w:lvl w:ilvl="8" w:tplc="0426001B" w:tentative="1">
      <w:start w:val="1"/>
      <w:numFmt w:val="lowerRoman"/>
      <w:lvlText w:val="%9."/>
      <w:lvlJc w:val="right"/>
      <w:pPr>
        <w:ind w:left="8685" w:hanging="180"/>
      </w:pPr>
    </w:lvl>
  </w:abstractNum>
  <w:abstractNum w:abstractNumId="24">
    <w:nsid w:val="42A04142"/>
    <w:multiLevelType w:val="multilevel"/>
    <w:tmpl w:val="82207BD4"/>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47DA2F65"/>
    <w:multiLevelType w:val="multilevel"/>
    <w:tmpl w:val="74623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A515279"/>
    <w:multiLevelType w:val="hybridMultilevel"/>
    <w:tmpl w:val="C4349AAC"/>
    <w:lvl w:ilvl="0" w:tplc="3300D7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F04544"/>
    <w:multiLevelType w:val="hybridMultilevel"/>
    <w:tmpl w:val="30F48DFA"/>
    <w:lvl w:ilvl="0" w:tplc="DE10C4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nsid w:val="56C47680"/>
    <w:multiLevelType w:val="hybridMultilevel"/>
    <w:tmpl w:val="8BA49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2144CB"/>
    <w:multiLevelType w:val="multilevel"/>
    <w:tmpl w:val="E3AE1D20"/>
    <w:lvl w:ilvl="0">
      <w:start w:val="1"/>
      <w:numFmt w:val="decimal"/>
      <w:lvlText w:val="%1."/>
      <w:lvlJc w:val="left"/>
      <w:pPr>
        <w:ind w:left="720" w:hanging="360"/>
      </w:pPr>
    </w:lvl>
    <w:lvl w:ilvl="1">
      <w:start w:val="1"/>
      <w:numFmt w:val="decimal"/>
      <w:lvlText w:val="%1.%2."/>
      <w:lvlJc w:val="left"/>
      <w:pPr>
        <w:ind w:left="720" w:hanging="36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30">
    <w:nsid w:val="5BFF1A76"/>
    <w:multiLevelType w:val="hybridMultilevel"/>
    <w:tmpl w:val="AB402E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706C49"/>
    <w:multiLevelType w:val="hybridMultilevel"/>
    <w:tmpl w:val="5B8A43C6"/>
    <w:lvl w:ilvl="0" w:tplc="55C2876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1610EA"/>
    <w:multiLevelType w:val="multilevel"/>
    <w:tmpl w:val="097053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E16039"/>
    <w:multiLevelType w:val="hybridMultilevel"/>
    <w:tmpl w:val="8CB22066"/>
    <w:lvl w:ilvl="0" w:tplc="674A1384">
      <w:start w:val="1"/>
      <w:numFmt w:val="bullet"/>
      <w:lvlText w:val="­"/>
      <w:lvlJc w:val="left"/>
      <w:pPr>
        <w:ind w:left="2205" w:hanging="360"/>
      </w:pPr>
      <w:rPr>
        <w:rFonts w:ascii="Courier New" w:hAnsi="Courier New" w:hint="default"/>
      </w:rPr>
    </w:lvl>
    <w:lvl w:ilvl="1" w:tplc="674A1384">
      <w:start w:val="1"/>
      <w:numFmt w:val="bullet"/>
      <w:lvlText w:val="­"/>
      <w:lvlJc w:val="left"/>
      <w:pPr>
        <w:ind w:left="2925" w:hanging="360"/>
      </w:pPr>
      <w:rPr>
        <w:rFonts w:ascii="Courier New" w:hAnsi="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34">
    <w:nsid w:val="6B781EB8"/>
    <w:multiLevelType w:val="hybridMultilevel"/>
    <w:tmpl w:val="A9EAF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CE5686"/>
    <w:multiLevelType w:val="hybridMultilevel"/>
    <w:tmpl w:val="A9EAF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9F21FD"/>
    <w:multiLevelType w:val="hybridMultilevel"/>
    <w:tmpl w:val="3B30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4E83511"/>
    <w:multiLevelType w:val="hybridMultilevel"/>
    <w:tmpl w:val="0AC479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8DF5595"/>
    <w:multiLevelType w:val="hybridMultilevel"/>
    <w:tmpl w:val="9B909454"/>
    <w:lvl w:ilvl="0" w:tplc="B8CC1E1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796F60F2"/>
    <w:multiLevelType w:val="hybridMultilevel"/>
    <w:tmpl w:val="D9DEA466"/>
    <w:lvl w:ilvl="0" w:tplc="F86268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4"/>
  </w:num>
  <w:num w:numId="4">
    <w:abstractNumId w:val="38"/>
  </w:num>
  <w:num w:numId="5">
    <w:abstractNumId w:val="28"/>
  </w:num>
  <w:num w:numId="6">
    <w:abstractNumId w:val="20"/>
  </w:num>
  <w:num w:numId="7">
    <w:abstractNumId w:val="1"/>
  </w:num>
  <w:num w:numId="8">
    <w:abstractNumId w:val="22"/>
  </w:num>
  <w:num w:numId="9">
    <w:abstractNumId w:val="16"/>
  </w:num>
  <w:num w:numId="10">
    <w:abstractNumId w:val="27"/>
  </w:num>
  <w:num w:numId="11">
    <w:abstractNumId w:val="34"/>
  </w:num>
  <w:num w:numId="12">
    <w:abstractNumId w:val="35"/>
  </w:num>
  <w:num w:numId="13">
    <w:abstractNumId w:val="37"/>
  </w:num>
  <w:num w:numId="14">
    <w:abstractNumId w:val="12"/>
  </w:num>
  <w:num w:numId="15">
    <w:abstractNumId w:val="23"/>
  </w:num>
  <w:num w:numId="16">
    <w:abstractNumId w:val="33"/>
  </w:num>
  <w:num w:numId="17">
    <w:abstractNumId w:val="0"/>
  </w:num>
  <w:num w:numId="18">
    <w:abstractNumId w:val="17"/>
  </w:num>
  <w:num w:numId="19">
    <w:abstractNumId w:val="29"/>
  </w:num>
  <w:num w:numId="20">
    <w:abstractNumId w:val="32"/>
  </w:num>
  <w:num w:numId="21">
    <w:abstractNumId w:val="9"/>
  </w:num>
  <w:num w:numId="22">
    <w:abstractNumId w:val="26"/>
  </w:num>
  <w:num w:numId="23">
    <w:abstractNumId w:val="31"/>
  </w:num>
  <w:num w:numId="24">
    <w:abstractNumId w:val="18"/>
  </w:num>
  <w:num w:numId="25">
    <w:abstractNumId w:val="36"/>
  </w:num>
  <w:num w:numId="26">
    <w:abstractNumId w:val="10"/>
  </w:num>
  <w:num w:numId="27">
    <w:abstractNumId w:val="21"/>
  </w:num>
  <w:num w:numId="28">
    <w:abstractNumId w:val="15"/>
  </w:num>
  <w:num w:numId="29">
    <w:abstractNumId w:val="7"/>
  </w:num>
  <w:num w:numId="30">
    <w:abstractNumId w:val="4"/>
  </w:num>
  <w:num w:numId="31">
    <w:abstractNumId w:val="11"/>
  </w:num>
  <w:num w:numId="32">
    <w:abstractNumId w:val="8"/>
  </w:num>
  <w:num w:numId="33">
    <w:abstractNumId w:val="39"/>
  </w:num>
  <w:num w:numId="34">
    <w:abstractNumId w:val="19"/>
  </w:num>
  <w:num w:numId="35">
    <w:abstractNumId w:val="25"/>
  </w:num>
  <w:num w:numId="36">
    <w:abstractNumId w:val="6"/>
  </w:num>
  <w:num w:numId="37">
    <w:abstractNumId w:val="2"/>
  </w:num>
  <w:num w:numId="38">
    <w:abstractNumId w:val="2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C3"/>
    <w:rsid w:val="00000C35"/>
    <w:rsid w:val="00013EC9"/>
    <w:rsid w:val="00024AFE"/>
    <w:rsid w:val="00027DEB"/>
    <w:rsid w:val="000306FD"/>
    <w:rsid w:val="00030ACC"/>
    <w:rsid w:val="00036B53"/>
    <w:rsid w:val="00044B1B"/>
    <w:rsid w:val="000465D1"/>
    <w:rsid w:val="00052A10"/>
    <w:rsid w:val="00062946"/>
    <w:rsid w:val="000718E3"/>
    <w:rsid w:val="00073002"/>
    <w:rsid w:val="00077AC3"/>
    <w:rsid w:val="00083037"/>
    <w:rsid w:val="00087401"/>
    <w:rsid w:val="00095C0C"/>
    <w:rsid w:val="000971C5"/>
    <w:rsid w:val="000A107F"/>
    <w:rsid w:val="000A2036"/>
    <w:rsid w:val="000A6EDF"/>
    <w:rsid w:val="000B32C7"/>
    <w:rsid w:val="000B4129"/>
    <w:rsid w:val="000C0BFE"/>
    <w:rsid w:val="000C59DC"/>
    <w:rsid w:val="000D1351"/>
    <w:rsid w:val="000D5A85"/>
    <w:rsid w:val="000E328C"/>
    <w:rsid w:val="000E4071"/>
    <w:rsid w:val="000E6980"/>
    <w:rsid w:val="000E7F4D"/>
    <w:rsid w:val="001026DD"/>
    <w:rsid w:val="0010642F"/>
    <w:rsid w:val="0011693E"/>
    <w:rsid w:val="00131790"/>
    <w:rsid w:val="00135057"/>
    <w:rsid w:val="001449A9"/>
    <w:rsid w:val="001561FA"/>
    <w:rsid w:val="0015643B"/>
    <w:rsid w:val="001722AA"/>
    <w:rsid w:val="001875F9"/>
    <w:rsid w:val="00190C49"/>
    <w:rsid w:val="0019493F"/>
    <w:rsid w:val="001B33D0"/>
    <w:rsid w:val="001B6DAA"/>
    <w:rsid w:val="001B7A71"/>
    <w:rsid w:val="001C21B1"/>
    <w:rsid w:val="001C55AF"/>
    <w:rsid w:val="001D12DB"/>
    <w:rsid w:val="001D377C"/>
    <w:rsid w:val="001D56DF"/>
    <w:rsid w:val="00212AA4"/>
    <w:rsid w:val="00212F22"/>
    <w:rsid w:val="002158DD"/>
    <w:rsid w:val="00223E71"/>
    <w:rsid w:val="002275C0"/>
    <w:rsid w:val="00234C66"/>
    <w:rsid w:val="002403D7"/>
    <w:rsid w:val="002502CC"/>
    <w:rsid w:val="00252B0C"/>
    <w:rsid w:val="00256491"/>
    <w:rsid w:val="00261E74"/>
    <w:rsid w:val="00264CCF"/>
    <w:rsid w:val="00265B96"/>
    <w:rsid w:val="00266AC4"/>
    <w:rsid w:val="0027189F"/>
    <w:rsid w:val="00273358"/>
    <w:rsid w:val="00283CD8"/>
    <w:rsid w:val="00287EF5"/>
    <w:rsid w:val="002921A7"/>
    <w:rsid w:val="0029399B"/>
    <w:rsid w:val="002A6019"/>
    <w:rsid w:val="002C51E4"/>
    <w:rsid w:val="002E6836"/>
    <w:rsid w:val="002E6B8A"/>
    <w:rsid w:val="002E7EE3"/>
    <w:rsid w:val="002F6490"/>
    <w:rsid w:val="00305874"/>
    <w:rsid w:val="003157B8"/>
    <w:rsid w:val="00317E65"/>
    <w:rsid w:val="003208A0"/>
    <w:rsid w:val="00322E5B"/>
    <w:rsid w:val="00327044"/>
    <w:rsid w:val="003276B1"/>
    <w:rsid w:val="00333DBC"/>
    <w:rsid w:val="00335978"/>
    <w:rsid w:val="00335A98"/>
    <w:rsid w:val="00364F43"/>
    <w:rsid w:val="00365C5C"/>
    <w:rsid w:val="00372F98"/>
    <w:rsid w:val="0038276D"/>
    <w:rsid w:val="003830BE"/>
    <w:rsid w:val="003921AE"/>
    <w:rsid w:val="00393F8B"/>
    <w:rsid w:val="003A4F75"/>
    <w:rsid w:val="003A6489"/>
    <w:rsid w:val="003A74A4"/>
    <w:rsid w:val="003B0C32"/>
    <w:rsid w:val="003B658C"/>
    <w:rsid w:val="003B6CEF"/>
    <w:rsid w:val="003C4494"/>
    <w:rsid w:val="003C68DB"/>
    <w:rsid w:val="003D3266"/>
    <w:rsid w:val="003E523A"/>
    <w:rsid w:val="0040293C"/>
    <w:rsid w:val="004036F6"/>
    <w:rsid w:val="0040744B"/>
    <w:rsid w:val="00410C74"/>
    <w:rsid w:val="00412070"/>
    <w:rsid w:val="004140BD"/>
    <w:rsid w:val="00415C60"/>
    <w:rsid w:val="00417097"/>
    <w:rsid w:val="004206B1"/>
    <w:rsid w:val="004313C8"/>
    <w:rsid w:val="004324A5"/>
    <w:rsid w:val="00447CE0"/>
    <w:rsid w:val="00451251"/>
    <w:rsid w:val="00451ED3"/>
    <w:rsid w:val="0045606C"/>
    <w:rsid w:val="00457605"/>
    <w:rsid w:val="00476D03"/>
    <w:rsid w:val="00483631"/>
    <w:rsid w:val="00485864"/>
    <w:rsid w:val="00487645"/>
    <w:rsid w:val="00491054"/>
    <w:rsid w:val="004A0CF0"/>
    <w:rsid w:val="004A5692"/>
    <w:rsid w:val="004B0060"/>
    <w:rsid w:val="004B55DC"/>
    <w:rsid w:val="004C1725"/>
    <w:rsid w:val="004C219B"/>
    <w:rsid w:val="004C539C"/>
    <w:rsid w:val="00500035"/>
    <w:rsid w:val="00500B6B"/>
    <w:rsid w:val="00500E46"/>
    <w:rsid w:val="00501D29"/>
    <w:rsid w:val="00513128"/>
    <w:rsid w:val="0051341A"/>
    <w:rsid w:val="00520BEE"/>
    <w:rsid w:val="0052193F"/>
    <w:rsid w:val="005229B1"/>
    <w:rsid w:val="0052321E"/>
    <w:rsid w:val="00525B8E"/>
    <w:rsid w:val="005309E1"/>
    <w:rsid w:val="00531452"/>
    <w:rsid w:val="00537B17"/>
    <w:rsid w:val="00540B4A"/>
    <w:rsid w:val="00545B32"/>
    <w:rsid w:val="00552201"/>
    <w:rsid w:val="00553DDC"/>
    <w:rsid w:val="005554C1"/>
    <w:rsid w:val="00563A5E"/>
    <w:rsid w:val="00570A93"/>
    <w:rsid w:val="00572780"/>
    <w:rsid w:val="00576AAD"/>
    <w:rsid w:val="00577FD0"/>
    <w:rsid w:val="005872D2"/>
    <w:rsid w:val="005B0B35"/>
    <w:rsid w:val="005B24CA"/>
    <w:rsid w:val="005B4A06"/>
    <w:rsid w:val="005C0B14"/>
    <w:rsid w:val="005C1C4A"/>
    <w:rsid w:val="005C3B74"/>
    <w:rsid w:val="005D0C87"/>
    <w:rsid w:val="005E0A96"/>
    <w:rsid w:val="005E334C"/>
    <w:rsid w:val="005E5850"/>
    <w:rsid w:val="005F5805"/>
    <w:rsid w:val="005F7B0D"/>
    <w:rsid w:val="00610245"/>
    <w:rsid w:val="006211ED"/>
    <w:rsid w:val="00630245"/>
    <w:rsid w:val="00634D37"/>
    <w:rsid w:val="00636F57"/>
    <w:rsid w:val="006534AD"/>
    <w:rsid w:val="00654D54"/>
    <w:rsid w:val="00654DAB"/>
    <w:rsid w:val="00656C6E"/>
    <w:rsid w:val="0066200E"/>
    <w:rsid w:val="006774A7"/>
    <w:rsid w:val="00681BE6"/>
    <w:rsid w:val="006837DB"/>
    <w:rsid w:val="00683E57"/>
    <w:rsid w:val="00691380"/>
    <w:rsid w:val="006950C0"/>
    <w:rsid w:val="00695C5A"/>
    <w:rsid w:val="006B0079"/>
    <w:rsid w:val="006B231B"/>
    <w:rsid w:val="006C07BA"/>
    <w:rsid w:val="006C6296"/>
    <w:rsid w:val="006D55C6"/>
    <w:rsid w:val="006E2C65"/>
    <w:rsid w:val="006E480F"/>
    <w:rsid w:val="006E6971"/>
    <w:rsid w:val="006F7080"/>
    <w:rsid w:val="007226BC"/>
    <w:rsid w:val="007277AF"/>
    <w:rsid w:val="00737217"/>
    <w:rsid w:val="00741018"/>
    <w:rsid w:val="007672A6"/>
    <w:rsid w:val="00772DD4"/>
    <w:rsid w:val="007800B4"/>
    <w:rsid w:val="00783E89"/>
    <w:rsid w:val="00784897"/>
    <w:rsid w:val="0078596F"/>
    <w:rsid w:val="00787951"/>
    <w:rsid w:val="0079162E"/>
    <w:rsid w:val="0079423E"/>
    <w:rsid w:val="007965B4"/>
    <w:rsid w:val="007A327D"/>
    <w:rsid w:val="007A402E"/>
    <w:rsid w:val="007B20D7"/>
    <w:rsid w:val="007C7377"/>
    <w:rsid w:val="007C7F41"/>
    <w:rsid w:val="007D0DAF"/>
    <w:rsid w:val="007E143F"/>
    <w:rsid w:val="008201BC"/>
    <w:rsid w:val="00827DF9"/>
    <w:rsid w:val="00834691"/>
    <w:rsid w:val="00837C80"/>
    <w:rsid w:val="00863677"/>
    <w:rsid w:val="00865EBC"/>
    <w:rsid w:val="0087235E"/>
    <w:rsid w:val="008753A5"/>
    <w:rsid w:val="00881623"/>
    <w:rsid w:val="00881E71"/>
    <w:rsid w:val="00883AC5"/>
    <w:rsid w:val="008877C2"/>
    <w:rsid w:val="00891050"/>
    <w:rsid w:val="008914D9"/>
    <w:rsid w:val="008A47AE"/>
    <w:rsid w:val="008B33FE"/>
    <w:rsid w:val="008B5814"/>
    <w:rsid w:val="008B6FD4"/>
    <w:rsid w:val="008C59BD"/>
    <w:rsid w:val="008C635F"/>
    <w:rsid w:val="008C7A1B"/>
    <w:rsid w:val="008D3D18"/>
    <w:rsid w:val="008E1681"/>
    <w:rsid w:val="008E46B3"/>
    <w:rsid w:val="008F3902"/>
    <w:rsid w:val="00902B09"/>
    <w:rsid w:val="00916194"/>
    <w:rsid w:val="0091643C"/>
    <w:rsid w:val="009244B6"/>
    <w:rsid w:val="00926E2D"/>
    <w:rsid w:val="009310E9"/>
    <w:rsid w:val="0093121A"/>
    <w:rsid w:val="009364B0"/>
    <w:rsid w:val="009403FB"/>
    <w:rsid w:val="009420FE"/>
    <w:rsid w:val="0094459A"/>
    <w:rsid w:val="00944D75"/>
    <w:rsid w:val="00950ACC"/>
    <w:rsid w:val="00950F7E"/>
    <w:rsid w:val="00952D6B"/>
    <w:rsid w:val="00953302"/>
    <w:rsid w:val="00966D57"/>
    <w:rsid w:val="00966EE1"/>
    <w:rsid w:val="00967B3F"/>
    <w:rsid w:val="00971596"/>
    <w:rsid w:val="00987BAE"/>
    <w:rsid w:val="00990568"/>
    <w:rsid w:val="009A1A22"/>
    <w:rsid w:val="009A58DA"/>
    <w:rsid w:val="009A5B98"/>
    <w:rsid w:val="009B2F27"/>
    <w:rsid w:val="009B4640"/>
    <w:rsid w:val="009C0AD0"/>
    <w:rsid w:val="009C7D5C"/>
    <w:rsid w:val="009D43F7"/>
    <w:rsid w:val="009E51FC"/>
    <w:rsid w:val="009F25DA"/>
    <w:rsid w:val="009F280A"/>
    <w:rsid w:val="00A00FF5"/>
    <w:rsid w:val="00A02803"/>
    <w:rsid w:val="00A17DC6"/>
    <w:rsid w:val="00A26C83"/>
    <w:rsid w:val="00A3599E"/>
    <w:rsid w:val="00A5684F"/>
    <w:rsid w:val="00A734A1"/>
    <w:rsid w:val="00A84F6C"/>
    <w:rsid w:val="00A85FC8"/>
    <w:rsid w:val="00AA09D5"/>
    <w:rsid w:val="00AB2D8A"/>
    <w:rsid w:val="00AB3729"/>
    <w:rsid w:val="00AC0F2C"/>
    <w:rsid w:val="00AE6135"/>
    <w:rsid w:val="00AF006E"/>
    <w:rsid w:val="00AF2024"/>
    <w:rsid w:val="00AF39A8"/>
    <w:rsid w:val="00B03B7F"/>
    <w:rsid w:val="00B06F41"/>
    <w:rsid w:val="00B23DCB"/>
    <w:rsid w:val="00B33887"/>
    <w:rsid w:val="00B35950"/>
    <w:rsid w:val="00B45FA3"/>
    <w:rsid w:val="00B471E9"/>
    <w:rsid w:val="00B546A9"/>
    <w:rsid w:val="00B60F31"/>
    <w:rsid w:val="00B66B77"/>
    <w:rsid w:val="00B671B4"/>
    <w:rsid w:val="00B70373"/>
    <w:rsid w:val="00B71AF2"/>
    <w:rsid w:val="00B807E5"/>
    <w:rsid w:val="00B86B9D"/>
    <w:rsid w:val="00B93CB0"/>
    <w:rsid w:val="00B966BE"/>
    <w:rsid w:val="00BB0B28"/>
    <w:rsid w:val="00BB3554"/>
    <w:rsid w:val="00BB3E2A"/>
    <w:rsid w:val="00BC2C68"/>
    <w:rsid w:val="00BC3F55"/>
    <w:rsid w:val="00BD1DD3"/>
    <w:rsid w:val="00BD1FAD"/>
    <w:rsid w:val="00BD6B49"/>
    <w:rsid w:val="00BE2B80"/>
    <w:rsid w:val="00BE2DBC"/>
    <w:rsid w:val="00BF5AED"/>
    <w:rsid w:val="00C07F6A"/>
    <w:rsid w:val="00C13737"/>
    <w:rsid w:val="00C141E7"/>
    <w:rsid w:val="00C20AC4"/>
    <w:rsid w:val="00C30F1C"/>
    <w:rsid w:val="00C33693"/>
    <w:rsid w:val="00C3460B"/>
    <w:rsid w:val="00C435F8"/>
    <w:rsid w:val="00C46319"/>
    <w:rsid w:val="00C54130"/>
    <w:rsid w:val="00C6071D"/>
    <w:rsid w:val="00C63992"/>
    <w:rsid w:val="00C658DD"/>
    <w:rsid w:val="00C67E25"/>
    <w:rsid w:val="00C82305"/>
    <w:rsid w:val="00C97DA7"/>
    <w:rsid w:val="00CA00D1"/>
    <w:rsid w:val="00CA0D48"/>
    <w:rsid w:val="00CB328D"/>
    <w:rsid w:val="00CC0590"/>
    <w:rsid w:val="00CC4376"/>
    <w:rsid w:val="00CD0B04"/>
    <w:rsid w:val="00CD0C41"/>
    <w:rsid w:val="00CD24F2"/>
    <w:rsid w:val="00CE339F"/>
    <w:rsid w:val="00D049FF"/>
    <w:rsid w:val="00D10DC8"/>
    <w:rsid w:val="00D227FB"/>
    <w:rsid w:val="00D266C1"/>
    <w:rsid w:val="00D33D59"/>
    <w:rsid w:val="00D34C6A"/>
    <w:rsid w:val="00D34F29"/>
    <w:rsid w:val="00D355D3"/>
    <w:rsid w:val="00D3723E"/>
    <w:rsid w:val="00D37761"/>
    <w:rsid w:val="00D42712"/>
    <w:rsid w:val="00D427A6"/>
    <w:rsid w:val="00D45A05"/>
    <w:rsid w:val="00D5082D"/>
    <w:rsid w:val="00D55BE9"/>
    <w:rsid w:val="00D63C82"/>
    <w:rsid w:val="00D82A4C"/>
    <w:rsid w:val="00D831E0"/>
    <w:rsid w:val="00D908E3"/>
    <w:rsid w:val="00DA03F2"/>
    <w:rsid w:val="00DA194B"/>
    <w:rsid w:val="00DA7498"/>
    <w:rsid w:val="00DA77A3"/>
    <w:rsid w:val="00DB593E"/>
    <w:rsid w:val="00DC3959"/>
    <w:rsid w:val="00DD6FF8"/>
    <w:rsid w:val="00DF2DAA"/>
    <w:rsid w:val="00E01BCF"/>
    <w:rsid w:val="00E03015"/>
    <w:rsid w:val="00E05ECF"/>
    <w:rsid w:val="00E13162"/>
    <w:rsid w:val="00E13C75"/>
    <w:rsid w:val="00E15970"/>
    <w:rsid w:val="00E16B74"/>
    <w:rsid w:val="00E26403"/>
    <w:rsid w:val="00E309AD"/>
    <w:rsid w:val="00E30B94"/>
    <w:rsid w:val="00E50AB9"/>
    <w:rsid w:val="00E510CE"/>
    <w:rsid w:val="00E96AC1"/>
    <w:rsid w:val="00EB0983"/>
    <w:rsid w:val="00EB0A2F"/>
    <w:rsid w:val="00ED1D85"/>
    <w:rsid w:val="00ED6106"/>
    <w:rsid w:val="00ED6F6F"/>
    <w:rsid w:val="00EE16D5"/>
    <w:rsid w:val="00EF32FB"/>
    <w:rsid w:val="00F15BDD"/>
    <w:rsid w:val="00F27E8C"/>
    <w:rsid w:val="00F31EF4"/>
    <w:rsid w:val="00F433CD"/>
    <w:rsid w:val="00F51B9D"/>
    <w:rsid w:val="00F52579"/>
    <w:rsid w:val="00F65F7A"/>
    <w:rsid w:val="00F74830"/>
    <w:rsid w:val="00F755CD"/>
    <w:rsid w:val="00F83205"/>
    <w:rsid w:val="00F83624"/>
    <w:rsid w:val="00FA02E9"/>
    <w:rsid w:val="00FA0CD9"/>
    <w:rsid w:val="00FA3BE8"/>
    <w:rsid w:val="00FB00A6"/>
    <w:rsid w:val="00FC1CEB"/>
    <w:rsid w:val="00FC1DC6"/>
    <w:rsid w:val="00FC21EE"/>
    <w:rsid w:val="00FC5FD0"/>
    <w:rsid w:val="00FD1427"/>
    <w:rsid w:val="00FD3D25"/>
    <w:rsid w:val="00FD5432"/>
    <w:rsid w:val="00FD691B"/>
    <w:rsid w:val="00FE60A3"/>
    <w:rsid w:val="00FE7688"/>
    <w:rsid w:val="00FF4F02"/>
    <w:rsid w:val="00FF6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C3"/>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uiPriority w:val="9"/>
    <w:qFormat/>
    <w:rsid w:val="0057278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916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F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80"/>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91643C"/>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8B6FD4"/>
    <w:rPr>
      <w:rFonts w:asciiTheme="majorHAnsi" w:eastAsiaTheme="majorEastAsia" w:hAnsiTheme="majorHAnsi" w:cstheme="majorBidi"/>
      <w:b/>
      <w:bCs/>
      <w:color w:val="4F81BD" w:themeColor="accent1"/>
      <w:sz w:val="28"/>
      <w:szCs w:val="20"/>
      <w:lang w:eastAsia="lv-LV"/>
    </w:rPr>
  </w:style>
  <w:style w:type="paragraph" w:styleId="Header">
    <w:name w:val="header"/>
    <w:basedOn w:val="Normal"/>
    <w:link w:val="HeaderChar"/>
    <w:rsid w:val="00077AC3"/>
    <w:pPr>
      <w:tabs>
        <w:tab w:val="center" w:pos="4320"/>
        <w:tab w:val="right" w:pos="8640"/>
      </w:tabs>
    </w:pPr>
    <w:rPr>
      <w:lang w:val="en-GB"/>
    </w:rPr>
  </w:style>
  <w:style w:type="character" w:customStyle="1" w:styleId="HeaderChar">
    <w:name w:val="Header Char"/>
    <w:basedOn w:val="DefaultParagraphFont"/>
    <w:link w:val="Header"/>
    <w:rsid w:val="00077AC3"/>
    <w:rPr>
      <w:rFonts w:ascii="Times New Roman" w:eastAsia="Times New Roman" w:hAnsi="Times New Roman" w:cs="Times New Roman"/>
      <w:sz w:val="28"/>
      <w:szCs w:val="20"/>
      <w:lang w:val="en-GB" w:eastAsia="lv-LV"/>
    </w:rPr>
  </w:style>
  <w:style w:type="paragraph" w:styleId="BodyText">
    <w:name w:val="Body Text"/>
    <w:basedOn w:val="Normal"/>
    <w:link w:val="BodyTextChar"/>
    <w:rsid w:val="00077AC3"/>
    <w:pPr>
      <w:jc w:val="both"/>
    </w:pPr>
  </w:style>
  <w:style w:type="character" w:customStyle="1" w:styleId="BodyTextChar">
    <w:name w:val="Body Text Char"/>
    <w:basedOn w:val="DefaultParagraphFont"/>
    <w:link w:val="BodyText"/>
    <w:rsid w:val="00077AC3"/>
    <w:rPr>
      <w:rFonts w:ascii="Times New Roman" w:eastAsia="Times New Roman" w:hAnsi="Times New Roman" w:cs="Times New Roman"/>
      <w:sz w:val="28"/>
      <w:szCs w:val="20"/>
      <w:lang w:eastAsia="lv-LV"/>
    </w:rPr>
  </w:style>
  <w:style w:type="character" w:customStyle="1" w:styleId="spelle">
    <w:name w:val="spelle"/>
    <w:basedOn w:val="DefaultParagraphFont"/>
    <w:rsid w:val="001722AA"/>
    <w:rPr>
      <w:rFonts w:asciiTheme="minorHAnsi" w:hAnsiTheme="minorHAnsi"/>
      <w:b/>
      <w:caps/>
      <w:sz w:val="22"/>
      <w:szCs w:val="22"/>
    </w:rPr>
  </w:style>
  <w:style w:type="character" w:styleId="CommentReference">
    <w:name w:val="annotation reference"/>
    <w:basedOn w:val="DefaultParagraphFont"/>
    <w:semiHidden/>
    <w:rsid w:val="00077AC3"/>
    <w:rPr>
      <w:sz w:val="16"/>
      <w:szCs w:val="16"/>
    </w:rPr>
  </w:style>
  <w:style w:type="paragraph" w:styleId="BalloonText">
    <w:name w:val="Balloon Text"/>
    <w:basedOn w:val="Normal"/>
    <w:link w:val="BalloonTextChar"/>
    <w:uiPriority w:val="99"/>
    <w:semiHidden/>
    <w:unhideWhenUsed/>
    <w:rsid w:val="00077AC3"/>
    <w:rPr>
      <w:rFonts w:ascii="Tahoma" w:hAnsi="Tahoma" w:cs="Tahoma"/>
      <w:sz w:val="16"/>
      <w:szCs w:val="16"/>
    </w:rPr>
  </w:style>
  <w:style w:type="character" w:customStyle="1" w:styleId="BalloonTextChar">
    <w:name w:val="Balloon Text Char"/>
    <w:basedOn w:val="DefaultParagraphFont"/>
    <w:link w:val="BalloonText"/>
    <w:uiPriority w:val="99"/>
    <w:semiHidden/>
    <w:rsid w:val="00077AC3"/>
    <w:rPr>
      <w:rFonts w:ascii="Tahoma" w:eastAsia="Times New Roman" w:hAnsi="Tahoma" w:cs="Tahoma"/>
      <w:sz w:val="16"/>
      <w:szCs w:val="16"/>
      <w:lang w:eastAsia="lv-LV"/>
    </w:rPr>
  </w:style>
  <w:style w:type="paragraph" w:styleId="ListParagraph">
    <w:name w:val="List Paragraph"/>
    <w:basedOn w:val="Normal"/>
    <w:qFormat/>
    <w:rsid w:val="00087401"/>
    <w:pPr>
      <w:ind w:left="720"/>
      <w:contextualSpacing/>
    </w:pPr>
  </w:style>
  <w:style w:type="paragraph" w:styleId="Footer">
    <w:name w:val="footer"/>
    <w:basedOn w:val="Normal"/>
    <w:link w:val="FooterChar"/>
    <w:uiPriority w:val="99"/>
    <w:unhideWhenUsed/>
    <w:rsid w:val="002E6836"/>
    <w:pPr>
      <w:tabs>
        <w:tab w:val="center" w:pos="4153"/>
        <w:tab w:val="right" w:pos="8306"/>
      </w:tabs>
    </w:pPr>
  </w:style>
  <w:style w:type="character" w:customStyle="1" w:styleId="FooterChar">
    <w:name w:val="Footer Char"/>
    <w:basedOn w:val="DefaultParagraphFont"/>
    <w:link w:val="Footer"/>
    <w:uiPriority w:val="99"/>
    <w:rsid w:val="002E6836"/>
    <w:rPr>
      <w:rFonts w:ascii="Times New Roman" w:eastAsia="Times New Roman" w:hAnsi="Times New Roman" w:cs="Times New Roman"/>
      <w:sz w:val="28"/>
      <w:szCs w:val="20"/>
      <w:lang w:eastAsia="lv-LV"/>
    </w:rPr>
  </w:style>
  <w:style w:type="table" w:styleId="TableGrid">
    <w:name w:val="Table Grid"/>
    <w:basedOn w:val="TableNormal"/>
    <w:uiPriority w:val="59"/>
    <w:rsid w:val="005C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6C6E"/>
    <w:pPr>
      <w:spacing w:before="100" w:beforeAutospacing="1" w:after="100" w:afterAutospacing="1"/>
    </w:pPr>
    <w:rPr>
      <w:rFonts w:ascii="Verdana" w:hAnsi="Verdana"/>
      <w:color w:val="00678E"/>
      <w:sz w:val="15"/>
      <w:szCs w:val="15"/>
    </w:rPr>
  </w:style>
  <w:style w:type="character" w:styleId="Strong">
    <w:name w:val="Strong"/>
    <w:basedOn w:val="DefaultParagraphFont"/>
    <w:uiPriority w:val="22"/>
    <w:qFormat/>
    <w:rsid w:val="00656C6E"/>
    <w:rPr>
      <w:b/>
      <w:bCs/>
    </w:rPr>
  </w:style>
  <w:style w:type="paragraph" w:styleId="FootnoteText">
    <w:name w:val="footnote text"/>
    <w:basedOn w:val="Normal"/>
    <w:link w:val="FootnoteTextChar"/>
    <w:uiPriority w:val="99"/>
    <w:semiHidden/>
    <w:unhideWhenUsed/>
    <w:rsid w:val="00D266C1"/>
    <w:rPr>
      <w:sz w:val="20"/>
    </w:rPr>
  </w:style>
  <w:style w:type="character" w:customStyle="1" w:styleId="FootnoteTextChar">
    <w:name w:val="Footnote Text Char"/>
    <w:basedOn w:val="DefaultParagraphFont"/>
    <w:link w:val="FootnoteText"/>
    <w:uiPriority w:val="99"/>
    <w:semiHidden/>
    <w:rsid w:val="00D266C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266C1"/>
    <w:rPr>
      <w:vertAlign w:val="superscript"/>
    </w:rPr>
  </w:style>
  <w:style w:type="paragraph" w:styleId="TOC1">
    <w:name w:val="toc 1"/>
    <w:basedOn w:val="Normal"/>
    <w:next w:val="Normal"/>
    <w:autoRedefine/>
    <w:uiPriority w:val="39"/>
    <w:unhideWhenUsed/>
    <w:qFormat/>
    <w:rsid w:val="00BC2C68"/>
    <w:pPr>
      <w:tabs>
        <w:tab w:val="left" w:pos="426"/>
        <w:tab w:val="right" w:leader="dot" w:pos="8789"/>
      </w:tabs>
      <w:spacing w:after="100"/>
      <w:jc w:val="both"/>
    </w:pPr>
    <w:rPr>
      <w:noProof/>
    </w:rPr>
  </w:style>
  <w:style w:type="character" w:styleId="Hyperlink">
    <w:name w:val="Hyperlink"/>
    <w:basedOn w:val="DefaultParagraphFont"/>
    <w:uiPriority w:val="99"/>
    <w:unhideWhenUsed/>
    <w:rsid w:val="00572780"/>
    <w:rPr>
      <w:color w:val="0000FF" w:themeColor="hyperlink"/>
      <w:u w:val="single"/>
    </w:rPr>
  </w:style>
  <w:style w:type="character" w:styleId="PlaceholderText">
    <w:name w:val="Placeholder Text"/>
    <w:basedOn w:val="DefaultParagraphFont"/>
    <w:uiPriority w:val="99"/>
    <w:semiHidden/>
    <w:rsid w:val="00287EF5"/>
    <w:rPr>
      <w:color w:val="808080"/>
    </w:rPr>
  </w:style>
  <w:style w:type="paragraph" w:styleId="TOC2">
    <w:name w:val="toc 2"/>
    <w:basedOn w:val="Normal"/>
    <w:next w:val="Normal"/>
    <w:autoRedefine/>
    <w:uiPriority w:val="39"/>
    <w:unhideWhenUsed/>
    <w:qFormat/>
    <w:rsid w:val="00333DBC"/>
    <w:pPr>
      <w:tabs>
        <w:tab w:val="left" w:pos="284"/>
        <w:tab w:val="right" w:leader="dot" w:pos="9072"/>
      </w:tabs>
      <w:spacing w:after="100"/>
      <w:jc w:val="both"/>
    </w:pPr>
    <w:rPr>
      <w:sz w:val="24"/>
      <w:szCs w:val="24"/>
    </w:rPr>
  </w:style>
  <w:style w:type="paragraph" w:styleId="TOC3">
    <w:name w:val="toc 3"/>
    <w:basedOn w:val="Normal"/>
    <w:next w:val="Normal"/>
    <w:autoRedefine/>
    <w:uiPriority w:val="39"/>
    <w:unhideWhenUsed/>
    <w:qFormat/>
    <w:rsid w:val="00C13737"/>
    <w:pPr>
      <w:spacing w:after="100"/>
      <w:ind w:left="560"/>
    </w:pPr>
  </w:style>
  <w:style w:type="paragraph" w:styleId="NoSpacing">
    <w:name w:val="No Spacing"/>
    <w:link w:val="NoSpacingChar"/>
    <w:uiPriority w:val="1"/>
    <w:qFormat/>
    <w:rsid w:val="001449A9"/>
    <w:pPr>
      <w:spacing w:after="0" w:line="240" w:lineRule="auto"/>
    </w:pPr>
    <w:rPr>
      <w:rFonts w:ascii="Times New Roman" w:eastAsia="Times New Roman" w:hAnsi="Times New Roman" w:cs="Times New Roman"/>
      <w:sz w:val="28"/>
      <w:szCs w:val="20"/>
      <w:lang w:eastAsia="lv-LV"/>
    </w:rPr>
  </w:style>
  <w:style w:type="paragraph" w:styleId="TOCHeading">
    <w:name w:val="TOC Heading"/>
    <w:basedOn w:val="Heading1"/>
    <w:next w:val="Normal"/>
    <w:uiPriority w:val="39"/>
    <w:unhideWhenUsed/>
    <w:qFormat/>
    <w:rsid w:val="005229B1"/>
    <w:pPr>
      <w:spacing w:line="276" w:lineRule="auto"/>
      <w:outlineLvl w:val="9"/>
    </w:pPr>
    <w:rPr>
      <w:lang w:val="en-US" w:eastAsia="en-US"/>
    </w:rPr>
  </w:style>
  <w:style w:type="character" w:customStyle="1" w:styleId="NoSpacingChar">
    <w:name w:val="No Spacing Char"/>
    <w:basedOn w:val="DefaultParagraphFont"/>
    <w:link w:val="NoSpacing"/>
    <w:uiPriority w:val="1"/>
    <w:rsid w:val="00A5684F"/>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C3"/>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uiPriority w:val="9"/>
    <w:qFormat/>
    <w:rsid w:val="0057278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916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F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80"/>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uiPriority w:val="9"/>
    <w:rsid w:val="0091643C"/>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8B6FD4"/>
    <w:rPr>
      <w:rFonts w:asciiTheme="majorHAnsi" w:eastAsiaTheme="majorEastAsia" w:hAnsiTheme="majorHAnsi" w:cstheme="majorBidi"/>
      <w:b/>
      <w:bCs/>
      <w:color w:val="4F81BD" w:themeColor="accent1"/>
      <w:sz w:val="28"/>
      <w:szCs w:val="20"/>
      <w:lang w:eastAsia="lv-LV"/>
    </w:rPr>
  </w:style>
  <w:style w:type="paragraph" w:styleId="Header">
    <w:name w:val="header"/>
    <w:basedOn w:val="Normal"/>
    <w:link w:val="HeaderChar"/>
    <w:rsid w:val="00077AC3"/>
    <w:pPr>
      <w:tabs>
        <w:tab w:val="center" w:pos="4320"/>
        <w:tab w:val="right" w:pos="8640"/>
      </w:tabs>
    </w:pPr>
    <w:rPr>
      <w:lang w:val="en-GB"/>
    </w:rPr>
  </w:style>
  <w:style w:type="character" w:customStyle="1" w:styleId="HeaderChar">
    <w:name w:val="Header Char"/>
    <w:basedOn w:val="DefaultParagraphFont"/>
    <w:link w:val="Header"/>
    <w:rsid w:val="00077AC3"/>
    <w:rPr>
      <w:rFonts w:ascii="Times New Roman" w:eastAsia="Times New Roman" w:hAnsi="Times New Roman" w:cs="Times New Roman"/>
      <w:sz w:val="28"/>
      <w:szCs w:val="20"/>
      <w:lang w:val="en-GB" w:eastAsia="lv-LV"/>
    </w:rPr>
  </w:style>
  <w:style w:type="paragraph" w:styleId="BodyText">
    <w:name w:val="Body Text"/>
    <w:basedOn w:val="Normal"/>
    <w:link w:val="BodyTextChar"/>
    <w:rsid w:val="00077AC3"/>
    <w:pPr>
      <w:jc w:val="both"/>
    </w:pPr>
  </w:style>
  <w:style w:type="character" w:customStyle="1" w:styleId="BodyTextChar">
    <w:name w:val="Body Text Char"/>
    <w:basedOn w:val="DefaultParagraphFont"/>
    <w:link w:val="BodyText"/>
    <w:rsid w:val="00077AC3"/>
    <w:rPr>
      <w:rFonts w:ascii="Times New Roman" w:eastAsia="Times New Roman" w:hAnsi="Times New Roman" w:cs="Times New Roman"/>
      <w:sz w:val="28"/>
      <w:szCs w:val="20"/>
      <w:lang w:eastAsia="lv-LV"/>
    </w:rPr>
  </w:style>
  <w:style w:type="character" w:customStyle="1" w:styleId="spelle">
    <w:name w:val="spelle"/>
    <w:basedOn w:val="DefaultParagraphFont"/>
    <w:rsid w:val="001722AA"/>
    <w:rPr>
      <w:rFonts w:asciiTheme="minorHAnsi" w:hAnsiTheme="minorHAnsi"/>
      <w:b/>
      <w:caps/>
      <w:sz w:val="22"/>
      <w:szCs w:val="22"/>
    </w:rPr>
  </w:style>
  <w:style w:type="character" w:styleId="CommentReference">
    <w:name w:val="annotation reference"/>
    <w:basedOn w:val="DefaultParagraphFont"/>
    <w:semiHidden/>
    <w:rsid w:val="00077AC3"/>
    <w:rPr>
      <w:sz w:val="16"/>
      <w:szCs w:val="16"/>
    </w:rPr>
  </w:style>
  <w:style w:type="paragraph" w:styleId="BalloonText">
    <w:name w:val="Balloon Text"/>
    <w:basedOn w:val="Normal"/>
    <w:link w:val="BalloonTextChar"/>
    <w:uiPriority w:val="99"/>
    <w:semiHidden/>
    <w:unhideWhenUsed/>
    <w:rsid w:val="00077AC3"/>
    <w:rPr>
      <w:rFonts w:ascii="Tahoma" w:hAnsi="Tahoma" w:cs="Tahoma"/>
      <w:sz w:val="16"/>
      <w:szCs w:val="16"/>
    </w:rPr>
  </w:style>
  <w:style w:type="character" w:customStyle="1" w:styleId="BalloonTextChar">
    <w:name w:val="Balloon Text Char"/>
    <w:basedOn w:val="DefaultParagraphFont"/>
    <w:link w:val="BalloonText"/>
    <w:uiPriority w:val="99"/>
    <w:semiHidden/>
    <w:rsid w:val="00077AC3"/>
    <w:rPr>
      <w:rFonts w:ascii="Tahoma" w:eastAsia="Times New Roman" w:hAnsi="Tahoma" w:cs="Tahoma"/>
      <w:sz w:val="16"/>
      <w:szCs w:val="16"/>
      <w:lang w:eastAsia="lv-LV"/>
    </w:rPr>
  </w:style>
  <w:style w:type="paragraph" w:styleId="ListParagraph">
    <w:name w:val="List Paragraph"/>
    <w:basedOn w:val="Normal"/>
    <w:qFormat/>
    <w:rsid w:val="00087401"/>
    <w:pPr>
      <w:ind w:left="720"/>
      <w:contextualSpacing/>
    </w:pPr>
  </w:style>
  <w:style w:type="paragraph" w:styleId="Footer">
    <w:name w:val="footer"/>
    <w:basedOn w:val="Normal"/>
    <w:link w:val="FooterChar"/>
    <w:uiPriority w:val="99"/>
    <w:unhideWhenUsed/>
    <w:rsid w:val="002E6836"/>
    <w:pPr>
      <w:tabs>
        <w:tab w:val="center" w:pos="4153"/>
        <w:tab w:val="right" w:pos="8306"/>
      </w:tabs>
    </w:pPr>
  </w:style>
  <w:style w:type="character" w:customStyle="1" w:styleId="FooterChar">
    <w:name w:val="Footer Char"/>
    <w:basedOn w:val="DefaultParagraphFont"/>
    <w:link w:val="Footer"/>
    <w:uiPriority w:val="99"/>
    <w:rsid w:val="002E6836"/>
    <w:rPr>
      <w:rFonts w:ascii="Times New Roman" w:eastAsia="Times New Roman" w:hAnsi="Times New Roman" w:cs="Times New Roman"/>
      <w:sz w:val="28"/>
      <w:szCs w:val="20"/>
      <w:lang w:eastAsia="lv-LV"/>
    </w:rPr>
  </w:style>
  <w:style w:type="table" w:styleId="TableGrid">
    <w:name w:val="Table Grid"/>
    <w:basedOn w:val="TableNormal"/>
    <w:uiPriority w:val="59"/>
    <w:rsid w:val="005C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6C6E"/>
    <w:pPr>
      <w:spacing w:before="100" w:beforeAutospacing="1" w:after="100" w:afterAutospacing="1"/>
    </w:pPr>
    <w:rPr>
      <w:rFonts w:ascii="Verdana" w:hAnsi="Verdana"/>
      <w:color w:val="00678E"/>
      <w:sz w:val="15"/>
      <w:szCs w:val="15"/>
    </w:rPr>
  </w:style>
  <w:style w:type="character" w:styleId="Strong">
    <w:name w:val="Strong"/>
    <w:basedOn w:val="DefaultParagraphFont"/>
    <w:uiPriority w:val="22"/>
    <w:qFormat/>
    <w:rsid w:val="00656C6E"/>
    <w:rPr>
      <w:b/>
      <w:bCs/>
    </w:rPr>
  </w:style>
  <w:style w:type="paragraph" w:styleId="FootnoteText">
    <w:name w:val="footnote text"/>
    <w:basedOn w:val="Normal"/>
    <w:link w:val="FootnoteTextChar"/>
    <w:uiPriority w:val="99"/>
    <w:semiHidden/>
    <w:unhideWhenUsed/>
    <w:rsid w:val="00D266C1"/>
    <w:rPr>
      <w:sz w:val="20"/>
    </w:rPr>
  </w:style>
  <w:style w:type="character" w:customStyle="1" w:styleId="FootnoteTextChar">
    <w:name w:val="Footnote Text Char"/>
    <w:basedOn w:val="DefaultParagraphFont"/>
    <w:link w:val="FootnoteText"/>
    <w:uiPriority w:val="99"/>
    <w:semiHidden/>
    <w:rsid w:val="00D266C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266C1"/>
    <w:rPr>
      <w:vertAlign w:val="superscript"/>
    </w:rPr>
  </w:style>
  <w:style w:type="paragraph" w:styleId="TOC1">
    <w:name w:val="toc 1"/>
    <w:basedOn w:val="Normal"/>
    <w:next w:val="Normal"/>
    <w:autoRedefine/>
    <w:uiPriority w:val="39"/>
    <w:unhideWhenUsed/>
    <w:qFormat/>
    <w:rsid w:val="00BC2C68"/>
    <w:pPr>
      <w:tabs>
        <w:tab w:val="left" w:pos="426"/>
        <w:tab w:val="right" w:leader="dot" w:pos="8789"/>
      </w:tabs>
      <w:spacing w:after="100"/>
      <w:jc w:val="both"/>
    </w:pPr>
    <w:rPr>
      <w:noProof/>
    </w:rPr>
  </w:style>
  <w:style w:type="character" w:styleId="Hyperlink">
    <w:name w:val="Hyperlink"/>
    <w:basedOn w:val="DefaultParagraphFont"/>
    <w:uiPriority w:val="99"/>
    <w:unhideWhenUsed/>
    <w:rsid w:val="00572780"/>
    <w:rPr>
      <w:color w:val="0000FF" w:themeColor="hyperlink"/>
      <w:u w:val="single"/>
    </w:rPr>
  </w:style>
  <w:style w:type="character" w:styleId="PlaceholderText">
    <w:name w:val="Placeholder Text"/>
    <w:basedOn w:val="DefaultParagraphFont"/>
    <w:uiPriority w:val="99"/>
    <w:semiHidden/>
    <w:rsid w:val="00287EF5"/>
    <w:rPr>
      <w:color w:val="808080"/>
    </w:rPr>
  </w:style>
  <w:style w:type="paragraph" w:styleId="TOC2">
    <w:name w:val="toc 2"/>
    <w:basedOn w:val="Normal"/>
    <w:next w:val="Normal"/>
    <w:autoRedefine/>
    <w:uiPriority w:val="39"/>
    <w:unhideWhenUsed/>
    <w:qFormat/>
    <w:rsid w:val="00333DBC"/>
    <w:pPr>
      <w:tabs>
        <w:tab w:val="left" w:pos="284"/>
        <w:tab w:val="right" w:leader="dot" w:pos="9072"/>
      </w:tabs>
      <w:spacing w:after="100"/>
      <w:jc w:val="both"/>
    </w:pPr>
    <w:rPr>
      <w:sz w:val="24"/>
      <w:szCs w:val="24"/>
    </w:rPr>
  </w:style>
  <w:style w:type="paragraph" w:styleId="TOC3">
    <w:name w:val="toc 3"/>
    <w:basedOn w:val="Normal"/>
    <w:next w:val="Normal"/>
    <w:autoRedefine/>
    <w:uiPriority w:val="39"/>
    <w:unhideWhenUsed/>
    <w:qFormat/>
    <w:rsid w:val="00C13737"/>
    <w:pPr>
      <w:spacing w:after="100"/>
      <w:ind w:left="560"/>
    </w:pPr>
  </w:style>
  <w:style w:type="paragraph" w:styleId="NoSpacing">
    <w:name w:val="No Spacing"/>
    <w:link w:val="NoSpacingChar"/>
    <w:uiPriority w:val="1"/>
    <w:qFormat/>
    <w:rsid w:val="001449A9"/>
    <w:pPr>
      <w:spacing w:after="0" w:line="240" w:lineRule="auto"/>
    </w:pPr>
    <w:rPr>
      <w:rFonts w:ascii="Times New Roman" w:eastAsia="Times New Roman" w:hAnsi="Times New Roman" w:cs="Times New Roman"/>
      <w:sz w:val="28"/>
      <w:szCs w:val="20"/>
      <w:lang w:eastAsia="lv-LV"/>
    </w:rPr>
  </w:style>
  <w:style w:type="paragraph" w:styleId="TOCHeading">
    <w:name w:val="TOC Heading"/>
    <w:basedOn w:val="Heading1"/>
    <w:next w:val="Normal"/>
    <w:uiPriority w:val="39"/>
    <w:unhideWhenUsed/>
    <w:qFormat/>
    <w:rsid w:val="005229B1"/>
    <w:pPr>
      <w:spacing w:line="276" w:lineRule="auto"/>
      <w:outlineLvl w:val="9"/>
    </w:pPr>
    <w:rPr>
      <w:lang w:val="en-US" w:eastAsia="en-US"/>
    </w:rPr>
  </w:style>
  <w:style w:type="character" w:customStyle="1" w:styleId="NoSpacingChar">
    <w:name w:val="No Spacing Char"/>
    <w:basedOn w:val="DefaultParagraphFont"/>
    <w:link w:val="NoSpacing"/>
    <w:uiPriority w:val="1"/>
    <w:rsid w:val="00A5684F"/>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46">
      <w:bodyDiv w:val="1"/>
      <w:marLeft w:val="0"/>
      <w:marRight w:val="0"/>
      <w:marTop w:val="0"/>
      <w:marBottom w:val="0"/>
      <w:divBdr>
        <w:top w:val="none" w:sz="0" w:space="0" w:color="auto"/>
        <w:left w:val="none" w:sz="0" w:space="0" w:color="auto"/>
        <w:bottom w:val="none" w:sz="0" w:space="0" w:color="auto"/>
        <w:right w:val="none" w:sz="0" w:space="0" w:color="auto"/>
      </w:divBdr>
    </w:div>
    <w:div w:id="24643434">
      <w:bodyDiv w:val="1"/>
      <w:marLeft w:val="0"/>
      <w:marRight w:val="0"/>
      <w:marTop w:val="0"/>
      <w:marBottom w:val="0"/>
      <w:divBdr>
        <w:top w:val="none" w:sz="0" w:space="0" w:color="auto"/>
        <w:left w:val="none" w:sz="0" w:space="0" w:color="auto"/>
        <w:bottom w:val="none" w:sz="0" w:space="0" w:color="auto"/>
        <w:right w:val="none" w:sz="0" w:space="0" w:color="auto"/>
      </w:divBdr>
    </w:div>
    <w:div w:id="42943987">
      <w:bodyDiv w:val="1"/>
      <w:marLeft w:val="0"/>
      <w:marRight w:val="0"/>
      <w:marTop w:val="0"/>
      <w:marBottom w:val="0"/>
      <w:divBdr>
        <w:top w:val="none" w:sz="0" w:space="0" w:color="auto"/>
        <w:left w:val="none" w:sz="0" w:space="0" w:color="auto"/>
        <w:bottom w:val="none" w:sz="0" w:space="0" w:color="auto"/>
        <w:right w:val="none" w:sz="0" w:space="0" w:color="auto"/>
      </w:divBdr>
    </w:div>
    <w:div w:id="59638982">
      <w:bodyDiv w:val="1"/>
      <w:marLeft w:val="0"/>
      <w:marRight w:val="0"/>
      <w:marTop w:val="0"/>
      <w:marBottom w:val="0"/>
      <w:divBdr>
        <w:top w:val="none" w:sz="0" w:space="0" w:color="auto"/>
        <w:left w:val="none" w:sz="0" w:space="0" w:color="auto"/>
        <w:bottom w:val="none" w:sz="0" w:space="0" w:color="auto"/>
        <w:right w:val="none" w:sz="0" w:space="0" w:color="auto"/>
      </w:divBdr>
    </w:div>
    <w:div w:id="83500797">
      <w:bodyDiv w:val="1"/>
      <w:marLeft w:val="0"/>
      <w:marRight w:val="0"/>
      <w:marTop w:val="0"/>
      <w:marBottom w:val="0"/>
      <w:divBdr>
        <w:top w:val="none" w:sz="0" w:space="0" w:color="auto"/>
        <w:left w:val="none" w:sz="0" w:space="0" w:color="auto"/>
        <w:bottom w:val="none" w:sz="0" w:space="0" w:color="auto"/>
        <w:right w:val="none" w:sz="0" w:space="0" w:color="auto"/>
      </w:divBdr>
    </w:div>
    <w:div w:id="88936668">
      <w:bodyDiv w:val="1"/>
      <w:marLeft w:val="0"/>
      <w:marRight w:val="0"/>
      <w:marTop w:val="0"/>
      <w:marBottom w:val="0"/>
      <w:divBdr>
        <w:top w:val="none" w:sz="0" w:space="0" w:color="auto"/>
        <w:left w:val="none" w:sz="0" w:space="0" w:color="auto"/>
        <w:bottom w:val="none" w:sz="0" w:space="0" w:color="auto"/>
        <w:right w:val="none" w:sz="0" w:space="0" w:color="auto"/>
      </w:divBdr>
    </w:div>
    <w:div w:id="138155050">
      <w:bodyDiv w:val="1"/>
      <w:marLeft w:val="0"/>
      <w:marRight w:val="0"/>
      <w:marTop w:val="0"/>
      <w:marBottom w:val="0"/>
      <w:divBdr>
        <w:top w:val="none" w:sz="0" w:space="0" w:color="auto"/>
        <w:left w:val="none" w:sz="0" w:space="0" w:color="auto"/>
        <w:bottom w:val="none" w:sz="0" w:space="0" w:color="auto"/>
        <w:right w:val="none" w:sz="0" w:space="0" w:color="auto"/>
      </w:divBdr>
    </w:div>
    <w:div w:id="142048299">
      <w:bodyDiv w:val="1"/>
      <w:marLeft w:val="0"/>
      <w:marRight w:val="0"/>
      <w:marTop w:val="0"/>
      <w:marBottom w:val="0"/>
      <w:divBdr>
        <w:top w:val="none" w:sz="0" w:space="0" w:color="auto"/>
        <w:left w:val="none" w:sz="0" w:space="0" w:color="auto"/>
        <w:bottom w:val="none" w:sz="0" w:space="0" w:color="auto"/>
        <w:right w:val="none" w:sz="0" w:space="0" w:color="auto"/>
      </w:divBdr>
    </w:div>
    <w:div w:id="188111087">
      <w:bodyDiv w:val="1"/>
      <w:marLeft w:val="0"/>
      <w:marRight w:val="0"/>
      <w:marTop w:val="0"/>
      <w:marBottom w:val="0"/>
      <w:divBdr>
        <w:top w:val="none" w:sz="0" w:space="0" w:color="auto"/>
        <w:left w:val="none" w:sz="0" w:space="0" w:color="auto"/>
        <w:bottom w:val="none" w:sz="0" w:space="0" w:color="auto"/>
        <w:right w:val="none" w:sz="0" w:space="0" w:color="auto"/>
      </w:divBdr>
    </w:div>
    <w:div w:id="192504206">
      <w:bodyDiv w:val="1"/>
      <w:marLeft w:val="0"/>
      <w:marRight w:val="0"/>
      <w:marTop w:val="0"/>
      <w:marBottom w:val="0"/>
      <w:divBdr>
        <w:top w:val="none" w:sz="0" w:space="0" w:color="auto"/>
        <w:left w:val="none" w:sz="0" w:space="0" w:color="auto"/>
        <w:bottom w:val="none" w:sz="0" w:space="0" w:color="auto"/>
        <w:right w:val="none" w:sz="0" w:space="0" w:color="auto"/>
      </w:divBdr>
    </w:div>
    <w:div w:id="213466126">
      <w:bodyDiv w:val="1"/>
      <w:marLeft w:val="0"/>
      <w:marRight w:val="0"/>
      <w:marTop w:val="0"/>
      <w:marBottom w:val="0"/>
      <w:divBdr>
        <w:top w:val="none" w:sz="0" w:space="0" w:color="auto"/>
        <w:left w:val="none" w:sz="0" w:space="0" w:color="auto"/>
        <w:bottom w:val="none" w:sz="0" w:space="0" w:color="auto"/>
        <w:right w:val="none" w:sz="0" w:space="0" w:color="auto"/>
      </w:divBdr>
    </w:div>
    <w:div w:id="216665321">
      <w:bodyDiv w:val="1"/>
      <w:marLeft w:val="0"/>
      <w:marRight w:val="0"/>
      <w:marTop w:val="0"/>
      <w:marBottom w:val="0"/>
      <w:divBdr>
        <w:top w:val="none" w:sz="0" w:space="0" w:color="auto"/>
        <w:left w:val="none" w:sz="0" w:space="0" w:color="auto"/>
        <w:bottom w:val="none" w:sz="0" w:space="0" w:color="auto"/>
        <w:right w:val="none" w:sz="0" w:space="0" w:color="auto"/>
      </w:divBdr>
    </w:div>
    <w:div w:id="266163140">
      <w:bodyDiv w:val="1"/>
      <w:marLeft w:val="0"/>
      <w:marRight w:val="0"/>
      <w:marTop w:val="0"/>
      <w:marBottom w:val="0"/>
      <w:divBdr>
        <w:top w:val="none" w:sz="0" w:space="0" w:color="auto"/>
        <w:left w:val="none" w:sz="0" w:space="0" w:color="auto"/>
        <w:bottom w:val="none" w:sz="0" w:space="0" w:color="auto"/>
        <w:right w:val="none" w:sz="0" w:space="0" w:color="auto"/>
      </w:divBdr>
    </w:div>
    <w:div w:id="315766073">
      <w:bodyDiv w:val="1"/>
      <w:marLeft w:val="0"/>
      <w:marRight w:val="0"/>
      <w:marTop w:val="0"/>
      <w:marBottom w:val="0"/>
      <w:divBdr>
        <w:top w:val="none" w:sz="0" w:space="0" w:color="auto"/>
        <w:left w:val="none" w:sz="0" w:space="0" w:color="auto"/>
        <w:bottom w:val="none" w:sz="0" w:space="0" w:color="auto"/>
        <w:right w:val="none" w:sz="0" w:space="0" w:color="auto"/>
      </w:divBdr>
    </w:div>
    <w:div w:id="346031245">
      <w:bodyDiv w:val="1"/>
      <w:marLeft w:val="0"/>
      <w:marRight w:val="0"/>
      <w:marTop w:val="0"/>
      <w:marBottom w:val="0"/>
      <w:divBdr>
        <w:top w:val="none" w:sz="0" w:space="0" w:color="auto"/>
        <w:left w:val="none" w:sz="0" w:space="0" w:color="auto"/>
        <w:bottom w:val="none" w:sz="0" w:space="0" w:color="auto"/>
        <w:right w:val="none" w:sz="0" w:space="0" w:color="auto"/>
      </w:divBdr>
    </w:div>
    <w:div w:id="358162682">
      <w:bodyDiv w:val="1"/>
      <w:marLeft w:val="0"/>
      <w:marRight w:val="0"/>
      <w:marTop w:val="0"/>
      <w:marBottom w:val="0"/>
      <w:divBdr>
        <w:top w:val="none" w:sz="0" w:space="0" w:color="auto"/>
        <w:left w:val="none" w:sz="0" w:space="0" w:color="auto"/>
        <w:bottom w:val="none" w:sz="0" w:space="0" w:color="auto"/>
        <w:right w:val="none" w:sz="0" w:space="0" w:color="auto"/>
      </w:divBdr>
    </w:div>
    <w:div w:id="380861446">
      <w:bodyDiv w:val="1"/>
      <w:marLeft w:val="0"/>
      <w:marRight w:val="0"/>
      <w:marTop w:val="0"/>
      <w:marBottom w:val="0"/>
      <w:divBdr>
        <w:top w:val="none" w:sz="0" w:space="0" w:color="auto"/>
        <w:left w:val="none" w:sz="0" w:space="0" w:color="auto"/>
        <w:bottom w:val="none" w:sz="0" w:space="0" w:color="auto"/>
        <w:right w:val="none" w:sz="0" w:space="0" w:color="auto"/>
      </w:divBdr>
    </w:div>
    <w:div w:id="449857419">
      <w:bodyDiv w:val="1"/>
      <w:marLeft w:val="0"/>
      <w:marRight w:val="0"/>
      <w:marTop w:val="0"/>
      <w:marBottom w:val="0"/>
      <w:divBdr>
        <w:top w:val="none" w:sz="0" w:space="0" w:color="auto"/>
        <w:left w:val="none" w:sz="0" w:space="0" w:color="auto"/>
        <w:bottom w:val="none" w:sz="0" w:space="0" w:color="auto"/>
        <w:right w:val="none" w:sz="0" w:space="0" w:color="auto"/>
      </w:divBdr>
    </w:div>
    <w:div w:id="462384482">
      <w:bodyDiv w:val="1"/>
      <w:marLeft w:val="0"/>
      <w:marRight w:val="0"/>
      <w:marTop w:val="0"/>
      <w:marBottom w:val="0"/>
      <w:divBdr>
        <w:top w:val="none" w:sz="0" w:space="0" w:color="auto"/>
        <w:left w:val="none" w:sz="0" w:space="0" w:color="auto"/>
        <w:bottom w:val="none" w:sz="0" w:space="0" w:color="auto"/>
        <w:right w:val="none" w:sz="0" w:space="0" w:color="auto"/>
      </w:divBdr>
    </w:div>
    <w:div w:id="478496717">
      <w:bodyDiv w:val="1"/>
      <w:marLeft w:val="0"/>
      <w:marRight w:val="0"/>
      <w:marTop w:val="0"/>
      <w:marBottom w:val="0"/>
      <w:divBdr>
        <w:top w:val="none" w:sz="0" w:space="0" w:color="auto"/>
        <w:left w:val="none" w:sz="0" w:space="0" w:color="auto"/>
        <w:bottom w:val="none" w:sz="0" w:space="0" w:color="auto"/>
        <w:right w:val="none" w:sz="0" w:space="0" w:color="auto"/>
      </w:divBdr>
    </w:div>
    <w:div w:id="479927335">
      <w:bodyDiv w:val="1"/>
      <w:marLeft w:val="0"/>
      <w:marRight w:val="0"/>
      <w:marTop w:val="0"/>
      <w:marBottom w:val="0"/>
      <w:divBdr>
        <w:top w:val="none" w:sz="0" w:space="0" w:color="auto"/>
        <w:left w:val="none" w:sz="0" w:space="0" w:color="auto"/>
        <w:bottom w:val="none" w:sz="0" w:space="0" w:color="auto"/>
        <w:right w:val="none" w:sz="0" w:space="0" w:color="auto"/>
      </w:divBdr>
    </w:div>
    <w:div w:id="485367489">
      <w:bodyDiv w:val="1"/>
      <w:marLeft w:val="0"/>
      <w:marRight w:val="0"/>
      <w:marTop w:val="0"/>
      <w:marBottom w:val="0"/>
      <w:divBdr>
        <w:top w:val="none" w:sz="0" w:space="0" w:color="auto"/>
        <w:left w:val="none" w:sz="0" w:space="0" w:color="auto"/>
        <w:bottom w:val="none" w:sz="0" w:space="0" w:color="auto"/>
        <w:right w:val="none" w:sz="0" w:space="0" w:color="auto"/>
      </w:divBdr>
    </w:div>
    <w:div w:id="541796001">
      <w:bodyDiv w:val="1"/>
      <w:marLeft w:val="0"/>
      <w:marRight w:val="0"/>
      <w:marTop w:val="0"/>
      <w:marBottom w:val="0"/>
      <w:divBdr>
        <w:top w:val="none" w:sz="0" w:space="0" w:color="auto"/>
        <w:left w:val="none" w:sz="0" w:space="0" w:color="auto"/>
        <w:bottom w:val="none" w:sz="0" w:space="0" w:color="auto"/>
        <w:right w:val="none" w:sz="0" w:space="0" w:color="auto"/>
      </w:divBdr>
    </w:div>
    <w:div w:id="589000026">
      <w:bodyDiv w:val="1"/>
      <w:marLeft w:val="0"/>
      <w:marRight w:val="0"/>
      <w:marTop w:val="0"/>
      <w:marBottom w:val="0"/>
      <w:divBdr>
        <w:top w:val="none" w:sz="0" w:space="0" w:color="auto"/>
        <w:left w:val="none" w:sz="0" w:space="0" w:color="auto"/>
        <w:bottom w:val="none" w:sz="0" w:space="0" w:color="auto"/>
        <w:right w:val="none" w:sz="0" w:space="0" w:color="auto"/>
      </w:divBdr>
    </w:div>
    <w:div w:id="612709130">
      <w:bodyDiv w:val="1"/>
      <w:marLeft w:val="0"/>
      <w:marRight w:val="0"/>
      <w:marTop w:val="0"/>
      <w:marBottom w:val="0"/>
      <w:divBdr>
        <w:top w:val="none" w:sz="0" w:space="0" w:color="auto"/>
        <w:left w:val="none" w:sz="0" w:space="0" w:color="auto"/>
        <w:bottom w:val="none" w:sz="0" w:space="0" w:color="auto"/>
        <w:right w:val="none" w:sz="0" w:space="0" w:color="auto"/>
      </w:divBdr>
    </w:div>
    <w:div w:id="631909330">
      <w:bodyDiv w:val="1"/>
      <w:marLeft w:val="0"/>
      <w:marRight w:val="0"/>
      <w:marTop w:val="0"/>
      <w:marBottom w:val="0"/>
      <w:divBdr>
        <w:top w:val="none" w:sz="0" w:space="0" w:color="auto"/>
        <w:left w:val="none" w:sz="0" w:space="0" w:color="auto"/>
        <w:bottom w:val="none" w:sz="0" w:space="0" w:color="auto"/>
        <w:right w:val="none" w:sz="0" w:space="0" w:color="auto"/>
      </w:divBdr>
    </w:div>
    <w:div w:id="648243469">
      <w:bodyDiv w:val="1"/>
      <w:marLeft w:val="0"/>
      <w:marRight w:val="0"/>
      <w:marTop w:val="0"/>
      <w:marBottom w:val="0"/>
      <w:divBdr>
        <w:top w:val="none" w:sz="0" w:space="0" w:color="auto"/>
        <w:left w:val="none" w:sz="0" w:space="0" w:color="auto"/>
        <w:bottom w:val="none" w:sz="0" w:space="0" w:color="auto"/>
        <w:right w:val="none" w:sz="0" w:space="0" w:color="auto"/>
      </w:divBdr>
    </w:div>
    <w:div w:id="722868223">
      <w:bodyDiv w:val="1"/>
      <w:marLeft w:val="0"/>
      <w:marRight w:val="0"/>
      <w:marTop w:val="0"/>
      <w:marBottom w:val="0"/>
      <w:divBdr>
        <w:top w:val="none" w:sz="0" w:space="0" w:color="auto"/>
        <w:left w:val="none" w:sz="0" w:space="0" w:color="auto"/>
        <w:bottom w:val="none" w:sz="0" w:space="0" w:color="auto"/>
        <w:right w:val="none" w:sz="0" w:space="0" w:color="auto"/>
      </w:divBdr>
    </w:div>
    <w:div w:id="746078026">
      <w:bodyDiv w:val="1"/>
      <w:marLeft w:val="0"/>
      <w:marRight w:val="0"/>
      <w:marTop w:val="0"/>
      <w:marBottom w:val="0"/>
      <w:divBdr>
        <w:top w:val="none" w:sz="0" w:space="0" w:color="auto"/>
        <w:left w:val="none" w:sz="0" w:space="0" w:color="auto"/>
        <w:bottom w:val="none" w:sz="0" w:space="0" w:color="auto"/>
        <w:right w:val="none" w:sz="0" w:space="0" w:color="auto"/>
      </w:divBdr>
    </w:div>
    <w:div w:id="856190501">
      <w:bodyDiv w:val="1"/>
      <w:marLeft w:val="0"/>
      <w:marRight w:val="0"/>
      <w:marTop w:val="0"/>
      <w:marBottom w:val="0"/>
      <w:divBdr>
        <w:top w:val="none" w:sz="0" w:space="0" w:color="auto"/>
        <w:left w:val="none" w:sz="0" w:space="0" w:color="auto"/>
        <w:bottom w:val="none" w:sz="0" w:space="0" w:color="auto"/>
        <w:right w:val="none" w:sz="0" w:space="0" w:color="auto"/>
      </w:divBdr>
    </w:div>
    <w:div w:id="941106814">
      <w:bodyDiv w:val="1"/>
      <w:marLeft w:val="0"/>
      <w:marRight w:val="0"/>
      <w:marTop w:val="0"/>
      <w:marBottom w:val="0"/>
      <w:divBdr>
        <w:top w:val="none" w:sz="0" w:space="0" w:color="auto"/>
        <w:left w:val="none" w:sz="0" w:space="0" w:color="auto"/>
        <w:bottom w:val="none" w:sz="0" w:space="0" w:color="auto"/>
        <w:right w:val="none" w:sz="0" w:space="0" w:color="auto"/>
      </w:divBdr>
    </w:div>
    <w:div w:id="997853426">
      <w:bodyDiv w:val="1"/>
      <w:marLeft w:val="0"/>
      <w:marRight w:val="0"/>
      <w:marTop w:val="0"/>
      <w:marBottom w:val="0"/>
      <w:divBdr>
        <w:top w:val="none" w:sz="0" w:space="0" w:color="auto"/>
        <w:left w:val="none" w:sz="0" w:space="0" w:color="auto"/>
        <w:bottom w:val="none" w:sz="0" w:space="0" w:color="auto"/>
        <w:right w:val="none" w:sz="0" w:space="0" w:color="auto"/>
      </w:divBdr>
    </w:div>
    <w:div w:id="1043944741">
      <w:bodyDiv w:val="1"/>
      <w:marLeft w:val="0"/>
      <w:marRight w:val="0"/>
      <w:marTop w:val="0"/>
      <w:marBottom w:val="0"/>
      <w:divBdr>
        <w:top w:val="none" w:sz="0" w:space="0" w:color="auto"/>
        <w:left w:val="none" w:sz="0" w:space="0" w:color="auto"/>
        <w:bottom w:val="none" w:sz="0" w:space="0" w:color="auto"/>
        <w:right w:val="none" w:sz="0" w:space="0" w:color="auto"/>
      </w:divBdr>
    </w:div>
    <w:div w:id="1043989185">
      <w:bodyDiv w:val="1"/>
      <w:marLeft w:val="0"/>
      <w:marRight w:val="0"/>
      <w:marTop w:val="0"/>
      <w:marBottom w:val="0"/>
      <w:divBdr>
        <w:top w:val="none" w:sz="0" w:space="0" w:color="auto"/>
        <w:left w:val="none" w:sz="0" w:space="0" w:color="auto"/>
        <w:bottom w:val="none" w:sz="0" w:space="0" w:color="auto"/>
        <w:right w:val="none" w:sz="0" w:space="0" w:color="auto"/>
      </w:divBdr>
    </w:div>
    <w:div w:id="1057128403">
      <w:bodyDiv w:val="1"/>
      <w:marLeft w:val="0"/>
      <w:marRight w:val="0"/>
      <w:marTop w:val="0"/>
      <w:marBottom w:val="0"/>
      <w:divBdr>
        <w:top w:val="none" w:sz="0" w:space="0" w:color="auto"/>
        <w:left w:val="none" w:sz="0" w:space="0" w:color="auto"/>
        <w:bottom w:val="none" w:sz="0" w:space="0" w:color="auto"/>
        <w:right w:val="none" w:sz="0" w:space="0" w:color="auto"/>
      </w:divBdr>
    </w:div>
    <w:div w:id="1066607031">
      <w:bodyDiv w:val="1"/>
      <w:marLeft w:val="0"/>
      <w:marRight w:val="0"/>
      <w:marTop w:val="0"/>
      <w:marBottom w:val="0"/>
      <w:divBdr>
        <w:top w:val="none" w:sz="0" w:space="0" w:color="auto"/>
        <w:left w:val="none" w:sz="0" w:space="0" w:color="auto"/>
        <w:bottom w:val="none" w:sz="0" w:space="0" w:color="auto"/>
        <w:right w:val="none" w:sz="0" w:space="0" w:color="auto"/>
      </w:divBdr>
    </w:div>
    <w:div w:id="1066879030">
      <w:bodyDiv w:val="1"/>
      <w:marLeft w:val="0"/>
      <w:marRight w:val="0"/>
      <w:marTop w:val="0"/>
      <w:marBottom w:val="0"/>
      <w:divBdr>
        <w:top w:val="none" w:sz="0" w:space="0" w:color="auto"/>
        <w:left w:val="none" w:sz="0" w:space="0" w:color="auto"/>
        <w:bottom w:val="none" w:sz="0" w:space="0" w:color="auto"/>
        <w:right w:val="none" w:sz="0" w:space="0" w:color="auto"/>
      </w:divBdr>
    </w:div>
    <w:div w:id="1070687487">
      <w:bodyDiv w:val="1"/>
      <w:marLeft w:val="0"/>
      <w:marRight w:val="0"/>
      <w:marTop w:val="0"/>
      <w:marBottom w:val="0"/>
      <w:divBdr>
        <w:top w:val="none" w:sz="0" w:space="0" w:color="auto"/>
        <w:left w:val="none" w:sz="0" w:space="0" w:color="auto"/>
        <w:bottom w:val="none" w:sz="0" w:space="0" w:color="auto"/>
        <w:right w:val="none" w:sz="0" w:space="0" w:color="auto"/>
      </w:divBdr>
    </w:div>
    <w:div w:id="1080981681">
      <w:bodyDiv w:val="1"/>
      <w:marLeft w:val="0"/>
      <w:marRight w:val="0"/>
      <w:marTop w:val="0"/>
      <w:marBottom w:val="0"/>
      <w:divBdr>
        <w:top w:val="none" w:sz="0" w:space="0" w:color="auto"/>
        <w:left w:val="none" w:sz="0" w:space="0" w:color="auto"/>
        <w:bottom w:val="none" w:sz="0" w:space="0" w:color="auto"/>
        <w:right w:val="none" w:sz="0" w:space="0" w:color="auto"/>
      </w:divBdr>
    </w:div>
    <w:div w:id="1120690384">
      <w:bodyDiv w:val="1"/>
      <w:marLeft w:val="0"/>
      <w:marRight w:val="0"/>
      <w:marTop w:val="0"/>
      <w:marBottom w:val="0"/>
      <w:divBdr>
        <w:top w:val="none" w:sz="0" w:space="0" w:color="auto"/>
        <w:left w:val="none" w:sz="0" w:space="0" w:color="auto"/>
        <w:bottom w:val="none" w:sz="0" w:space="0" w:color="auto"/>
        <w:right w:val="none" w:sz="0" w:space="0" w:color="auto"/>
      </w:divBdr>
    </w:div>
    <w:div w:id="1122260832">
      <w:bodyDiv w:val="1"/>
      <w:marLeft w:val="0"/>
      <w:marRight w:val="0"/>
      <w:marTop w:val="0"/>
      <w:marBottom w:val="0"/>
      <w:divBdr>
        <w:top w:val="none" w:sz="0" w:space="0" w:color="auto"/>
        <w:left w:val="none" w:sz="0" w:space="0" w:color="auto"/>
        <w:bottom w:val="none" w:sz="0" w:space="0" w:color="auto"/>
        <w:right w:val="none" w:sz="0" w:space="0" w:color="auto"/>
      </w:divBdr>
    </w:div>
    <w:div w:id="1130051884">
      <w:bodyDiv w:val="1"/>
      <w:marLeft w:val="0"/>
      <w:marRight w:val="0"/>
      <w:marTop w:val="0"/>
      <w:marBottom w:val="0"/>
      <w:divBdr>
        <w:top w:val="none" w:sz="0" w:space="0" w:color="auto"/>
        <w:left w:val="none" w:sz="0" w:space="0" w:color="auto"/>
        <w:bottom w:val="none" w:sz="0" w:space="0" w:color="auto"/>
        <w:right w:val="none" w:sz="0" w:space="0" w:color="auto"/>
      </w:divBdr>
    </w:div>
    <w:div w:id="1158571578">
      <w:bodyDiv w:val="1"/>
      <w:marLeft w:val="0"/>
      <w:marRight w:val="0"/>
      <w:marTop w:val="0"/>
      <w:marBottom w:val="0"/>
      <w:divBdr>
        <w:top w:val="none" w:sz="0" w:space="0" w:color="auto"/>
        <w:left w:val="none" w:sz="0" w:space="0" w:color="auto"/>
        <w:bottom w:val="none" w:sz="0" w:space="0" w:color="auto"/>
        <w:right w:val="none" w:sz="0" w:space="0" w:color="auto"/>
      </w:divBdr>
    </w:div>
    <w:div w:id="1174371881">
      <w:bodyDiv w:val="1"/>
      <w:marLeft w:val="0"/>
      <w:marRight w:val="0"/>
      <w:marTop w:val="0"/>
      <w:marBottom w:val="0"/>
      <w:divBdr>
        <w:top w:val="none" w:sz="0" w:space="0" w:color="auto"/>
        <w:left w:val="none" w:sz="0" w:space="0" w:color="auto"/>
        <w:bottom w:val="none" w:sz="0" w:space="0" w:color="auto"/>
        <w:right w:val="none" w:sz="0" w:space="0" w:color="auto"/>
      </w:divBdr>
    </w:div>
    <w:div w:id="1183284764">
      <w:bodyDiv w:val="1"/>
      <w:marLeft w:val="0"/>
      <w:marRight w:val="0"/>
      <w:marTop w:val="0"/>
      <w:marBottom w:val="0"/>
      <w:divBdr>
        <w:top w:val="none" w:sz="0" w:space="0" w:color="auto"/>
        <w:left w:val="none" w:sz="0" w:space="0" w:color="auto"/>
        <w:bottom w:val="none" w:sz="0" w:space="0" w:color="auto"/>
        <w:right w:val="none" w:sz="0" w:space="0" w:color="auto"/>
      </w:divBdr>
    </w:div>
    <w:div w:id="1198354462">
      <w:bodyDiv w:val="1"/>
      <w:marLeft w:val="0"/>
      <w:marRight w:val="0"/>
      <w:marTop w:val="0"/>
      <w:marBottom w:val="0"/>
      <w:divBdr>
        <w:top w:val="none" w:sz="0" w:space="0" w:color="auto"/>
        <w:left w:val="none" w:sz="0" w:space="0" w:color="auto"/>
        <w:bottom w:val="none" w:sz="0" w:space="0" w:color="auto"/>
        <w:right w:val="none" w:sz="0" w:space="0" w:color="auto"/>
      </w:divBdr>
    </w:div>
    <w:div w:id="1210412332">
      <w:bodyDiv w:val="1"/>
      <w:marLeft w:val="0"/>
      <w:marRight w:val="0"/>
      <w:marTop w:val="0"/>
      <w:marBottom w:val="0"/>
      <w:divBdr>
        <w:top w:val="none" w:sz="0" w:space="0" w:color="auto"/>
        <w:left w:val="none" w:sz="0" w:space="0" w:color="auto"/>
        <w:bottom w:val="none" w:sz="0" w:space="0" w:color="auto"/>
        <w:right w:val="none" w:sz="0" w:space="0" w:color="auto"/>
      </w:divBdr>
    </w:div>
    <w:div w:id="1244140127">
      <w:bodyDiv w:val="1"/>
      <w:marLeft w:val="0"/>
      <w:marRight w:val="0"/>
      <w:marTop w:val="0"/>
      <w:marBottom w:val="0"/>
      <w:divBdr>
        <w:top w:val="none" w:sz="0" w:space="0" w:color="auto"/>
        <w:left w:val="none" w:sz="0" w:space="0" w:color="auto"/>
        <w:bottom w:val="none" w:sz="0" w:space="0" w:color="auto"/>
        <w:right w:val="none" w:sz="0" w:space="0" w:color="auto"/>
      </w:divBdr>
    </w:div>
    <w:div w:id="1314718768">
      <w:bodyDiv w:val="1"/>
      <w:marLeft w:val="0"/>
      <w:marRight w:val="0"/>
      <w:marTop w:val="0"/>
      <w:marBottom w:val="0"/>
      <w:divBdr>
        <w:top w:val="none" w:sz="0" w:space="0" w:color="auto"/>
        <w:left w:val="none" w:sz="0" w:space="0" w:color="auto"/>
        <w:bottom w:val="none" w:sz="0" w:space="0" w:color="auto"/>
        <w:right w:val="none" w:sz="0" w:space="0" w:color="auto"/>
      </w:divBdr>
    </w:div>
    <w:div w:id="1345208298">
      <w:bodyDiv w:val="1"/>
      <w:marLeft w:val="0"/>
      <w:marRight w:val="0"/>
      <w:marTop w:val="0"/>
      <w:marBottom w:val="0"/>
      <w:divBdr>
        <w:top w:val="none" w:sz="0" w:space="0" w:color="auto"/>
        <w:left w:val="none" w:sz="0" w:space="0" w:color="auto"/>
        <w:bottom w:val="none" w:sz="0" w:space="0" w:color="auto"/>
        <w:right w:val="none" w:sz="0" w:space="0" w:color="auto"/>
      </w:divBdr>
    </w:div>
    <w:div w:id="1364817712">
      <w:bodyDiv w:val="1"/>
      <w:marLeft w:val="0"/>
      <w:marRight w:val="0"/>
      <w:marTop w:val="0"/>
      <w:marBottom w:val="0"/>
      <w:divBdr>
        <w:top w:val="none" w:sz="0" w:space="0" w:color="auto"/>
        <w:left w:val="none" w:sz="0" w:space="0" w:color="auto"/>
        <w:bottom w:val="none" w:sz="0" w:space="0" w:color="auto"/>
        <w:right w:val="none" w:sz="0" w:space="0" w:color="auto"/>
      </w:divBdr>
    </w:div>
    <w:div w:id="1380478367">
      <w:bodyDiv w:val="1"/>
      <w:marLeft w:val="0"/>
      <w:marRight w:val="0"/>
      <w:marTop w:val="0"/>
      <w:marBottom w:val="0"/>
      <w:divBdr>
        <w:top w:val="none" w:sz="0" w:space="0" w:color="auto"/>
        <w:left w:val="none" w:sz="0" w:space="0" w:color="auto"/>
        <w:bottom w:val="none" w:sz="0" w:space="0" w:color="auto"/>
        <w:right w:val="none" w:sz="0" w:space="0" w:color="auto"/>
      </w:divBdr>
    </w:div>
    <w:div w:id="1400903137">
      <w:bodyDiv w:val="1"/>
      <w:marLeft w:val="0"/>
      <w:marRight w:val="0"/>
      <w:marTop w:val="0"/>
      <w:marBottom w:val="0"/>
      <w:divBdr>
        <w:top w:val="none" w:sz="0" w:space="0" w:color="auto"/>
        <w:left w:val="none" w:sz="0" w:space="0" w:color="auto"/>
        <w:bottom w:val="none" w:sz="0" w:space="0" w:color="auto"/>
        <w:right w:val="none" w:sz="0" w:space="0" w:color="auto"/>
      </w:divBdr>
    </w:div>
    <w:div w:id="1412265960">
      <w:bodyDiv w:val="1"/>
      <w:marLeft w:val="0"/>
      <w:marRight w:val="0"/>
      <w:marTop w:val="0"/>
      <w:marBottom w:val="0"/>
      <w:divBdr>
        <w:top w:val="none" w:sz="0" w:space="0" w:color="auto"/>
        <w:left w:val="none" w:sz="0" w:space="0" w:color="auto"/>
        <w:bottom w:val="none" w:sz="0" w:space="0" w:color="auto"/>
        <w:right w:val="none" w:sz="0" w:space="0" w:color="auto"/>
      </w:divBdr>
    </w:div>
    <w:div w:id="1412581658">
      <w:bodyDiv w:val="1"/>
      <w:marLeft w:val="0"/>
      <w:marRight w:val="0"/>
      <w:marTop w:val="0"/>
      <w:marBottom w:val="0"/>
      <w:divBdr>
        <w:top w:val="none" w:sz="0" w:space="0" w:color="auto"/>
        <w:left w:val="none" w:sz="0" w:space="0" w:color="auto"/>
        <w:bottom w:val="none" w:sz="0" w:space="0" w:color="auto"/>
        <w:right w:val="none" w:sz="0" w:space="0" w:color="auto"/>
      </w:divBdr>
    </w:div>
    <w:div w:id="1416626663">
      <w:bodyDiv w:val="1"/>
      <w:marLeft w:val="0"/>
      <w:marRight w:val="0"/>
      <w:marTop w:val="0"/>
      <w:marBottom w:val="0"/>
      <w:divBdr>
        <w:top w:val="none" w:sz="0" w:space="0" w:color="auto"/>
        <w:left w:val="none" w:sz="0" w:space="0" w:color="auto"/>
        <w:bottom w:val="none" w:sz="0" w:space="0" w:color="auto"/>
        <w:right w:val="none" w:sz="0" w:space="0" w:color="auto"/>
      </w:divBdr>
    </w:div>
    <w:div w:id="1419325777">
      <w:bodyDiv w:val="1"/>
      <w:marLeft w:val="0"/>
      <w:marRight w:val="0"/>
      <w:marTop w:val="0"/>
      <w:marBottom w:val="0"/>
      <w:divBdr>
        <w:top w:val="none" w:sz="0" w:space="0" w:color="auto"/>
        <w:left w:val="none" w:sz="0" w:space="0" w:color="auto"/>
        <w:bottom w:val="none" w:sz="0" w:space="0" w:color="auto"/>
        <w:right w:val="none" w:sz="0" w:space="0" w:color="auto"/>
      </w:divBdr>
    </w:div>
    <w:div w:id="1507597892">
      <w:bodyDiv w:val="1"/>
      <w:marLeft w:val="0"/>
      <w:marRight w:val="0"/>
      <w:marTop w:val="0"/>
      <w:marBottom w:val="0"/>
      <w:divBdr>
        <w:top w:val="none" w:sz="0" w:space="0" w:color="auto"/>
        <w:left w:val="none" w:sz="0" w:space="0" w:color="auto"/>
        <w:bottom w:val="none" w:sz="0" w:space="0" w:color="auto"/>
        <w:right w:val="none" w:sz="0" w:space="0" w:color="auto"/>
      </w:divBdr>
    </w:div>
    <w:div w:id="1510411777">
      <w:bodyDiv w:val="1"/>
      <w:marLeft w:val="0"/>
      <w:marRight w:val="0"/>
      <w:marTop w:val="0"/>
      <w:marBottom w:val="0"/>
      <w:divBdr>
        <w:top w:val="none" w:sz="0" w:space="0" w:color="auto"/>
        <w:left w:val="none" w:sz="0" w:space="0" w:color="auto"/>
        <w:bottom w:val="none" w:sz="0" w:space="0" w:color="auto"/>
        <w:right w:val="none" w:sz="0" w:space="0" w:color="auto"/>
      </w:divBdr>
    </w:div>
    <w:div w:id="1532188602">
      <w:bodyDiv w:val="1"/>
      <w:marLeft w:val="0"/>
      <w:marRight w:val="0"/>
      <w:marTop w:val="0"/>
      <w:marBottom w:val="0"/>
      <w:divBdr>
        <w:top w:val="none" w:sz="0" w:space="0" w:color="auto"/>
        <w:left w:val="none" w:sz="0" w:space="0" w:color="auto"/>
        <w:bottom w:val="none" w:sz="0" w:space="0" w:color="auto"/>
        <w:right w:val="none" w:sz="0" w:space="0" w:color="auto"/>
      </w:divBdr>
    </w:div>
    <w:div w:id="1552383829">
      <w:bodyDiv w:val="1"/>
      <w:marLeft w:val="0"/>
      <w:marRight w:val="0"/>
      <w:marTop w:val="0"/>
      <w:marBottom w:val="0"/>
      <w:divBdr>
        <w:top w:val="none" w:sz="0" w:space="0" w:color="auto"/>
        <w:left w:val="none" w:sz="0" w:space="0" w:color="auto"/>
        <w:bottom w:val="none" w:sz="0" w:space="0" w:color="auto"/>
        <w:right w:val="none" w:sz="0" w:space="0" w:color="auto"/>
      </w:divBdr>
    </w:div>
    <w:div w:id="1555265819">
      <w:bodyDiv w:val="1"/>
      <w:marLeft w:val="0"/>
      <w:marRight w:val="0"/>
      <w:marTop w:val="0"/>
      <w:marBottom w:val="0"/>
      <w:divBdr>
        <w:top w:val="none" w:sz="0" w:space="0" w:color="auto"/>
        <w:left w:val="none" w:sz="0" w:space="0" w:color="auto"/>
        <w:bottom w:val="none" w:sz="0" w:space="0" w:color="auto"/>
        <w:right w:val="none" w:sz="0" w:space="0" w:color="auto"/>
      </w:divBdr>
    </w:div>
    <w:div w:id="1562866888">
      <w:bodyDiv w:val="1"/>
      <w:marLeft w:val="0"/>
      <w:marRight w:val="0"/>
      <w:marTop w:val="0"/>
      <w:marBottom w:val="0"/>
      <w:divBdr>
        <w:top w:val="none" w:sz="0" w:space="0" w:color="auto"/>
        <w:left w:val="none" w:sz="0" w:space="0" w:color="auto"/>
        <w:bottom w:val="none" w:sz="0" w:space="0" w:color="auto"/>
        <w:right w:val="none" w:sz="0" w:space="0" w:color="auto"/>
      </w:divBdr>
    </w:div>
    <w:div w:id="1645621884">
      <w:bodyDiv w:val="1"/>
      <w:marLeft w:val="0"/>
      <w:marRight w:val="0"/>
      <w:marTop w:val="0"/>
      <w:marBottom w:val="0"/>
      <w:divBdr>
        <w:top w:val="none" w:sz="0" w:space="0" w:color="auto"/>
        <w:left w:val="none" w:sz="0" w:space="0" w:color="auto"/>
        <w:bottom w:val="none" w:sz="0" w:space="0" w:color="auto"/>
        <w:right w:val="none" w:sz="0" w:space="0" w:color="auto"/>
      </w:divBdr>
    </w:div>
    <w:div w:id="1678922604">
      <w:bodyDiv w:val="1"/>
      <w:marLeft w:val="0"/>
      <w:marRight w:val="0"/>
      <w:marTop w:val="0"/>
      <w:marBottom w:val="0"/>
      <w:divBdr>
        <w:top w:val="none" w:sz="0" w:space="0" w:color="auto"/>
        <w:left w:val="none" w:sz="0" w:space="0" w:color="auto"/>
        <w:bottom w:val="none" w:sz="0" w:space="0" w:color="auto"/>
        <w:right w:val="none" w:sz="0" w:space="0" w:color="auto"/>
      </w:divBdr>
    </w:div>
    <w:div w:id="1682003961">
      <w:bodyDiv w:val="1"/>
      <w:marLeft w:val="0"/>
      <w:marRight w:val="0"/>
      <w:marTop w:val="0"/>
      <w:marBottom w:val="0"/>
      <w:divBdr>
        <w:top w:val="none" w:sz="0" w:space="0" w:color="auto"/>
        <w:left w:val="none" w:sz="0" w:space="0" w:color="auto"/>
        <w:bottom w:val="none" w:sz="0" w:space="0" w:color="auto"/>
        <w:right w:val="none" w:sz="0" w:space="0" w:color="auto"/>
      </w:divBdr>
    </w:div>
    <w:div w:id="1705523225">
      <w:bodyDiv w:val="1"/>
      <w:marLeft w:val="0"/>
      <w:marRight w:val="0"/>
      <w:marTop w:val="0"/>
      <w:marBottom w:val="0"/>
      <w:divBdr>
        <w:top w:val="none" w:sz="0" w:space="0" w:color="auto"/>
        <w:left w:val="none" w:sz="0" w:space="0" w:color="auto"/>
        <w:bottom w:val="none" w:sz="0" w:space="0" w:color="auto"/>
        <w:right w:val="none" w:sz="0" w:space="0" w:color="auto"/>
      </w:divBdr>
    </w:div>
    <w:div w:id="1780950823">
      <w:bodyDiv w:val="1"/>
      <w:marLeft w:val="0"/>
      <w:marRight w:val="0"/>
      <w:marTop w:val="0"/>
      <w:marBottom w:val="0"/>
      <w:divBdr>
        <w:top w:val="none" w:sz="0" w:space="0" w:color="auto"/>
        <w:left w:val="none" w:sz="0" w:space="0" w:color="auto"/>
        <w:bottom w:val="none" w:sz="0" w:space="0" w:color="auto"/>
        <w:right w:val="none" w:sz="0" w:space="0" w:color="auto"/>
      </w:divBdr>
    </w:div>
    <w:div w:id="1792746583">
      <w:bodyDiv w:val="1"/>
      <w:marLeft w:val="0"/>
      <w:marRight w:val="0"/>
      <w:marTop w:val="0"/>
      <w:marBottom w:val="0"/>
      <w:divBdr>
        <w:top w:val="none" w:sz="0" w:space="0" w:color="auto"/>
        <w:left w:val="none" w:sz="0" w:space="0" w:color="auto"/>
        <w:bottom w:val="none" w:sz="0" w:space="0" w:color="auto"/>
        <w:right w:val="none" w:sz="0" w:space="0" w:color="auto"/>
      </w:divBdr>
    </w:div>
    <w:div w:id="1822188443">
      <w:bodyDiv w:val="1"/>
      <w:marLeft w:val="0"/>
      <w:marRight w:val="0"/>
      <w:marTop w:val="0"/>
      <w:marBottom w:val="0"/>
      <w:divBdr>
        <w:top w:val="none" w:sz="0" w:space="0" w:color="auto"/>
        <w:left w:val="none" w:sz="0" w:space="0" w:color="auto"/>
        <w:bottom w:val="none" w:sz="0" w:space="0" w:color="auto"/>
        <w:right w:val="none" w:sz="0" w:space="0" w:color="auto"/>
      </w:divBdr>
    </w:div>
    <w:div w:id="1827472818">
      <w:bodyDiv w:val="1"/>
      <w:marLeft w:val="0"/>
      <w:marRight w:val="0"/>
      <w:marTop w:val="0"/>
      <w:marBottom w:val="0"/>
      <w:divBdr>
        <w:top w:val="none" w:sz="0" w:space="0" w:color="auto"/>
        <w:left w:val="none" w:sz="0" w:space="0" w:color="auto"/>
        <w:bottom w:val="none" w:sz="0" w:space="0" w:color="auto"/>
        <w:right w:val="none" w:sz="0" w:space="0" w:color="auto"/>
      </w:divBdr>
    </w:div>
    <w:div w:id="1845390254">
      <w:bodyDiv w:val="1"/>
      <w:marLeft w:val="0"/>
      <w:marRight w:val="0"/>
      <w:marTop w:val="0"/>
      <w:marBottom w:val="0"/>
      <w:divBdr>
        <w:top w:val="none" w:sz="0" w:space="0" w:color="auto"/>
        <w:left w:val="none" w:sz="0" w:space="0" w:color="auto"/>
        <w:bottom w:val="none" w:sz="0" w:space="0" w:color="auto"/>
        <w:right w:val="none" w:sz="0" w:space="0" w:color="auto"/>
      </w:divBdr>
    </w:div>
    <w:div w:id="1881624220">
      <w:bodyDiv w:val="1"/>
      <w:marLeft w:val="0"/>
      <w:marRight w:val="0"/>
      <w:marTop w:val="0"/>
      <w:marBottom w:val="0"/>
      <w:divBdr>
        <w:top w:val="none" w:sz="0" w:space="0" w:color="auto"/>
        <w:left w:val="none" w:sz="0" w:space="0" w:color="auto"/>
        <w:bottom w:val="none" w:sz="0" w:space="0" w:color="auto"/>
        <w:right w:val="none" w:sz="0" w:space="0" w:color="auto"/>
      </w:divBdr>
    </w:div>
    <w:div w:id="1919169943">
      <w:bodyDiv w:val="1"/>
      <w:marLeft w:val="0"/>
      <w:marRight w:val="0"/>
      <w:marTop w:val="0"/>
      <w:marBottom w:val="0"/>
      <w:divBdr>
        <w:top w:val="none" w:sz="0" w:space="0" w:color="auto"/>
        <w:left w:val="none" w:sz="0" w:space="0" w:color="auto"/>
        <w:bottom w:val="none" w:sz="0" w:space="0" w:color="auto"/>
        <w:right w:val="none" w:sz="0" w:space="0" w:color="auto"/>
      </w:divBdr>
    </w:div>
    <w:div w:id="1996835508">
      <w:bodyDiv w:val="1"/>
      <w:marLeft w:val="0"/>
      <w:marRight w:val="0"/>
      <w:marTop w:val="0"/>
      <w:marBottom w:val="0"/>
      <w:divBdr>
        <w:top w:val="none" w:sz="0" w:space="0" w:color="auto"/>
        <w:left w:val="none" w:sz="0" w:space="0" w:color="auto"/>
        <w:bottom w:val="none" w:sz="0" w:space="0" w:color="auto"/>
        <w:right w:val="none" w:sz="0" w:space="0" w:color="auto"/>
      </w:divBdr>
    </w:div>
    <w:div w:id="2005939086">
      <w:bodyDiv w:val="1"/>
      <w:marLeft w:val="0"/>
      <w:marRight w:val="0"/>
      <w:marTop w:val="0"/>
      <w:marBottom w:val="0"/>
      <w:divBdr>
        <w:top w:val="none" w:sz="0" w:space="0" w:color="auto"/>
        <w:left w:val="none" w:sz="0" w:space="0" w:color="auto"/>
        <w:bottom w:val="none" w:sz="0" w:space="0" w:color="auto"/>
        <w:right w:val="none" w:sz="0" w:space="0" w:color="auto"/>
      </w:divBdr>
    </w:div>
    <w:div w:id="2013100513">
      <w:bodyDiv w:val="1"/>
      <w:marLeft w:val="0"/>
      <w:marRight w:val="0"/>
      <w:marTop w:val="0"/>
      <w:marBottom w:val="0"/>
      <w:divBdr>
        <w:top w:val="none" w:sz="0" w:space="0" w:color="auto"/>
        <w:left w:val="none" w:sz="0" w:space="0" w:color="auto"/>
        <w:bottom w:val="none" w:sz="0" w:space="0" w:color="auto"/>
        <w:right w:val="none" w:sz="0" w:space="0" w:color="auto"/>
      </w:divBdr>
    </w:div>
    <w:div w:id="2017994775">
      <w:bodyDiv w:val="1"/>
      <w:marLeft w:val="0"/>
      <w:marRight w:val="0"/>
      <w:marTop w:val="0"/>
      <w:marBottom w:val="0"/>
      <w:divBdr>
        <w:top w:val="none" w:sz="0" w:space="0" w:color="auto"/>
        <w:left w:val="none" w:sz="0" w:space="0" w:color="auto"/>
        <w:bottom w:val="none" w:sz="0" w:space="0" w:color="auto"/>
        <w:right w:val="none" w:sz="0" w:space="0" w:color="auto"/>
      </w:divBdr>
    </w:div>
    <w:div w:id="2056001255">
      <w:bodyDiv w:val="1"/>
      <w:marLeft w:val="0"/>
      <w:marRight w:val="0"/>
      <w:marTop w:val="0"/>
      <w:marBottom w:val="0"/>
      <w:divBdr>
        <w:top w:val="none" w:sz="0" w:space="0" w:color="auto"/>
        <w:left w:val="none" w:sz="0" w:space="0" w:color="auto"/>
        <w:bottom w:val="none" w:sz="0" w:space="0" w:color="auto"/>
        <w:right w:val="none" w:sz="0" w:space="0" w:color="auto"/>
      </w:divBdr>
    </w:div>
    <w:div w:id="2088913372">
      <w:bodyDiv w:val="1"/>
      <w:marLeft w:val="0"/>
      <w:marRight w:val="0"/>
      <w:marTop w:val="0"/>
      <w:marBottom w:val="0"/>
      <w:divBdr>
        <w:top w:val="none" w:sz="0" w:space="0" w:color="auto"/>
        <w:left w:val="none" w:sz="0" w:space="0" w:color="auto"/>
        <w:bottom w:val="none" w:sz="0" w:space="0" w:color="auto"/>
        <w:right w:val="none" w:sz="0" w:space="0" w:color="auto"/>
      </w:divBdr>
    </w:div>
    <w:div w:id="2092508790">
      <w:bodyDiv w:val="1"/>
      <w:marLeft w:val="0"/>
      <w:marRight w:val="0"/>
      <w:marTop w:val="0"/>
      <w:marBottom w:val="0"/>
      <w:divBdr>
        <w:top w:val="none" w:sz="0" w:space="0" w:color="auto"/>
        <w:left w:val="none" w:sz="0" w:space="0" w:color="auto"/>
        <w:bottom w:val="none" w:sz="0" w:space="0" w:color="auto"/>
        <w:right w:val="none" w:sz="0" w:space="0" w:color="auto"/>
      </w:divBdr>
    </w:div>
    <w:div w:id="2093695981">
      <w:bodyDiv w:val="1"/>
      <w:marLeft w:val="0"/>
      <w:marRight w:val="0"/>
      <w:marTop w:val="0"/>
      <w:marBottom w:val="0"/>
      <w:divBdr>
        <w:top w:val="none" w:sz="0" w:space="0" w:color="auto"/>
        <w:left w:val="none" w:sz="0" w:space="0" w:color="auto"/>
        <w:bottom w:val="none" w:sz="0" w:space="0" w:color="auto"/>
        <w:right w:val="none" w:sz="0" w:space="0" w:color="auto"/>
      </w:divBdr>
    </w:div>
    <w:div w:id="2106918978">
      <w:bodyDiv w:val="1"/>
      <w:marLeft w:val="0"/>
      <w:marRight w:val="0"/>
      <w:marTop w:val="0"/>
      <w:marBottom w:val="0"/>
      <w:divBdr>
        <w:top w:val="none" w:sz="0" w:space="0" w:color="auto"/>
        <w:left w:val="none" w:sz="0" w:space="0" w:color="auto"/>
        <w:bottom w:val="none" w:sz="0" w:space="0" w:color="auto"/>
        <w:right w:val="none" w:sz="0" w:space="0" w:color="auto"/>
      </w:divBdr>
    </w:div>
    <w:div w:id="2117364827">
      <w:bodyDiv w:val="1"/>
      <w:marLeft w:val="0"/>
      <w:marRight w:val="0"/>
      <w:marTop w:val="0"/>
      <w:marBottom w:val="0"/>
      <w:divBdr>
        <w:top w:val="none" w:sz="0" w:space="0" w:color="auto"/>
        <w:left w:val="none" w:sz="0" w:space="0" w:color="auto"/>
        <w:bottom w:val="none" w:sz="0" w:space="0" w:color="auto"/>
        <w:right w:val="none" w:sz="0" w:space="0" w:color="auto"/>
      </w:divBdr>
    </w:div>
    <w:div w:id="21175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titova\AppData\Local\Temp\notes7C5A76\Programmu_pamatdati_DK041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Sheet2!$B$2</c:f>
              <c:strCache>
                <c:ptCount val="1"/>
                <c:pt idx="0">
                  <c:v>A IZM</c:v>
                </c:pt>
              </c:strCache>
            </c:strRef>
          </c:tx>
          <c:spPr>
            <a:solidFill>
              <a:srgbClr val="00B050"/>
            </a:solidFill>
          </c:spPr>
          <c:invertIfNegative val="0"/>
          <c:dLbls>
            <c:showLegendKey val="0"/>
            <c:showVal val="1"/>
            <c:showCatName val="0"/>
            <c:showSerName val="0"/>
            <c:showPercent val="0"/>
            <c:showBubbleSize val="0"/>
            <c:showLeaderLines val="0"/>
          </c:dLbls>
          <c:cat>
            <c:strRef>
              <c:f>Sheet2!$A$3:$A$31</c:f>
              <c:strCache>
                <c:ptCount val="29"/>
                <c:pt idx="0">
                  <c:v>1. Izglītība, pedagoģija un sports</c:v>
                </c:pt>
                <c:pt idx="1">
                  <c:v>2. Mākslas</c:v>
                </c:pt>
                <c:pt idx="2">
                  <c:v>3. Reliģija un teoloģija</c:v>
                </c:pt>
                <c:pt idx="3">
                  <c:v>4. Vēsture un filozofija</c:v>
                </c:pt>
                <c:pt idx="4">
                  <c:v>5. Valodu un kultūras studijas, dzimtās valodas studijas un valodu programmas</c:v>
                </c:pt>
                <c:pt idx="5">
                  <c:v>6. Tulkošana</c:v>
                </c:pt>
                <c:pt idx="6">
                  <c:v>7. Psiholoģija</c:v>
                </c:pt>
                <c:pt idx="7">
                  <c:v>8. Socioloģija, politoloģija un antropoloģija</c:v>
                </c:pt>
                <c:pt idx="8">
                  <c:v>9. Ekonomika</c:v>
                </c:pt>
                <c:pt idx="9">
                  <c:v>10. Informācijas un komunikācijas zinātnes</c:v>
                </c:pt>
                <c:pt idx="10">
                  <c:v>11. Vadība, administrēšana un nekustamo īpašumu pārvaldība</c:v>
                </c:pt>
                <c:pt idx="11">
                  <c:v>12. Tiesību zinātne</c:v>
                </c:pt>
                <c:pt idx="12">
                  <c:v>13. Dzīvās dabas zinātnes</c:v>
                </c:pt>
                <c:pt idx="13">
                  <c:v>14. Ģeogrāfijas un zemes zinātnes</c:v>
                </c:pt>
                <c:pt idx="14">
                  <c:v>15. Ķīmija, ķīmijas tehnoloģijas un biotehnoģija</c:v>
                </c:pt>
                <c:pt idx="15">
                  <c:v>16. Fizika, materiālzinātne, matemātika un statistika</c:v>
                </c:pt>
                <c:pt idx="16">
                  <c:v>17. Informācijas tehnoloģija, datortehnika, elektronika, telekomunikācijas, datorvadība un datorzinātne</c:v>
                </c:pt>
                <c:pt idx="17">
                  <c:v>18. Mehānika un metālapstrāde, siltumenerģētika, siltumtehnika un mašīnzinības</c:v>
                </c:pt>
                <c:pt idx="18">
                  <c:v>19. Enerģētika, elektrotehnika un elektrotehnoloģijas</c:v>
                </c:pt>
                <c:pt idx="19">
                  <c:v>20. Ražošana un pārstrāde</c:v>
                </c:pt>
                <c:pt idx="20">
                  <c:v>21. Arhitektūra un būvniecība</c:v>
                </c:pt>
                <c:pt idx="21">
                  <c:v>22. Lauksaimniecība, mežsaimniecība, zivsaimniecība, veterinārmedicīna un pārtikas higiēna</c:v>
                </c:pt>
                <c:pt idx="22">
                  <c:v>23. Veselības aprūpe</c:v>
                </c:pt>
                <c:pt idx="23">
                  <c:v>24. Sociālā labklājība</c:v>
                </c:pt>
                <c:pt idx="24">
                  <c:v>25. Viesnīcu un restorānu serviss, tūrisma un atpūtas organizācija</c:v>
                </c:pt>
                <c:pt idx="25">
                  <c:v>26. Transporta pakalpojumi</c:v>
                </c:pt>
                <c:pt idx="26">
                  <c:v>27. Vides aizsardzība</c:v>
                </c:pt>
                <c:pt idx="27">
                  <c:v>28. Iekšējā drošība un civilā aizsardzība</c:v>
                </c:pt>
                <c:pt idx="28">
                  <c:v>29. Militārā aizsardzība</c:v>
                </c:pt>
              </c:strCache>
            </c:strRef>
          </c:cat>
          <c:val>
            <c:numRef>
              <c:f>Sheet2!$B$3:$B$31</c:f>
              <c:numCache>
                <c:formatCode>General</c:formatCode>
                <c:ptCount val="29"/>
                <c:pt idx="0">
                  <c:v>40</c:v>
                </c:pt>
                <c:pt idx="1">
                  <c:v>3</c:v>
                </c:pt>
                <c:pt idx="2">
                  <c:v>11</c:v>
                </c:pt>
                <c:pt idx="3">
                  <c:v>0</c:v>
                </c:pt>
                <c:pt idx="4">
                  <c:v>26</c:v>
                </c:pt>
                <c:pt idx="5">
                  <c:v>6</c:v>
                </c:pt>
                <c:pt idx="6">
                  <c:v>1</c:v>
                </c:pt>
                <c:pt idx="7">
                  <c:v>13</c:v>
                </c:pt>
                <c:pt idx="8">
                  <c:v>14</c:v>
                </c:pt>
                <c:pt idx="9">
                  <c:v>17</c:v>
                </c:pt>
                <c:pt idx="10">
                  <c:v>41</c:v>
                </c:pt>
                <c:pt idx="11">
                  <c:v>22</c:v>
                </c:pt>
                <c:pt idx="12">
                  <c:v>6</c:v>
                </c:pt>
                <c:pt idx="13">
                  <c:v>0</c:v>
                </c:pt>
                <c:pt idx="14">
                  <c:v>0</c:v>
                </c:pt>
                <c:pt idx="15">
                  <c:v>0</c:v>
                </c:pt>
                <c:pt idx="16">
                  <c:v>39</c:v>
                </c:pt>
                <c:pt idx="17">
                  <c:v>19</c:v>
                </c:pt>
                <c:pt idx="18">
                  <c:v>14</c:v>
                </c:pt>
                <c:pt idx="19">
                  <c:v>17</c:v>
                </c:pt>
                <c:pt idx="20">
                  <c:v>3</c:v>
                </c:pt>
                <c:pt idx="21">
                  <c:v>6</c:v>
                </c:pt>
                <c:pt idx="22">
                  <c:v>55</c:v>
                </c:pt>
                <c:pt idx="23">
                  <c:v>12</c:v>
                </c:pt>
                <c:pt idx="24">
                  <c:v>6</c:v>
                </c:pt>
                <c:pt idx="25">
                  <c:v>0</c:v>
                </c:pt>
                <c:pt idx="26">
                  <c:v>9</c:v>
                </c:pt>
                <c:pt idx="27">
                  <c:v>5</c:v>
                </c:pt>
                <c:pt idx="28">
                  <c:v>4</c:v>
                </c:pt>
              </c:numCache>
            </c:numRef>
          </c:val>
        </c:ser>
        <c:ser>
          <c:idx val="1"/>
          <c:order val="1"/>
          <c:tx>
            <c:strRef>
              <c:f>Sheet2!$C$2</c:f>
              <c:strCache>
                <c:ptCount val="1"/>
                <c:pt idx="0">
                  <c:v>B IZM</c:v>
                </c:pt>
              </c:strCache>
            </c:strRef>
          </c:tx>
          <c:spPr>
            <a:solidFill>
              <a:srgbClr val="FFFF00"/>
            </a:solidFill>
          </c:spPr>
          <c:invertIfNegative val="0"/>
          <c:dLbls>
            <c:showLegendKey val="0"/>
            <c:showVal val="1"/>
            <c:showCatName val="0"/>
            <c:showSerName val="0"/>
            <c:showPercent val="0"/>
            <c:showBubbleSize val="0"/>
            <c:showLeaderLines val="0"/>
          </c:dLbls>
          <c:cat>
            <c:strRef>
              <c:f>Sheet2!$A$3:$A$31</c:f>
              <c:strCache>
                <c:ptCount val="29"/>
                <c:pt idx="0">
                  <c:v>1. Izglītība, pedagoģija un sports</c:v>
                </c:pt>
                <c:pt idx="1">
                  <c:v>2. Mākslas</c:v>
                </c:pt>
                <c:pt idx="2">
                  <c:v>3. Reliģija un teoloģija</c:v>
                </c:pt>
                <c:pt idx="3">
                  <c:v>4. Vēsture un filozofija</c:v>
                </c:pt>
                <c:pt idx="4">
                  <c:v>5. Valodu un kultūras studijas, dzimtās valodas studijas un valodu programmas</c:v>
                </c:pt>
                <c:pt idx="5">
                  <c:v>6. Tulkošana</c:v>
                </c:pt>
                <c:pt idx="6">
                  <c:v>7. Psiholoģija</c:v>
                </c:pt>
                <c:pt idx="7">
                  <c:v>8. Socioloģija, politoloģija un antropoloģija</c:v>
                </c:pt>
                <c:pt idx="8">
                  <c:v>9. Ekonomika</c:v>
                </c:pt>
                <c:pt idx="9">
                  <c:v>10. Informācijas un komunikācijas zinātnes</c:v>
                </c:pt>
                <c:pt idx="10">
                  <c:v>11. Vadība, administrēšana un nekustamo īpašumu pārvaldība</c:v>
                </c:pt>
                <c:pt idx="11">
                  <c:v>12. Tiesību zinātne</c:v>
                </c:pt>
                <c:pt idx="12">
                  <c:v>13. Dzīvās dabas zinātnes</c:v>
                </c:pt>
                <c:pt idx="13">
                  <c:v>14. Ģeogrāfijas un zemes zinātnes</c:v>
                </c:pt>
                <c:pt idx="14">
                  <c:v>15. Ķīmija, ķīmijas tehnoloģijas un biotehnoģija</c:v>
                </c:pt>
                <c:pt idx="15">
                  <c:v>16. Fizika, materiālzinātne, matemātika un statistika</c:v>
                </c:pt>
                <c:pt idx="16">
                  <c:v>17. Informācijas tehnoloģija, datortehnika, elektronika, telekomunikācijas, datorvadība un datorzinātne</c:v>
                </c:pt>
                <c:pt idx="17">
                  <c:v>18. Mehānika un metālapstrāde, siltumenerģētika, siltumtehnika un mašīnzinības</c:v>
                </c:pt>
                <c:pt idx="18">
                  <c:v>19. Enerģētika, elektrotehnika un elektrotehnoloģijas</c:v>
                </c:pt>
                <c:pt idx="19">
                  <c:v>20. Ražošana un pārstrāde</c:v>
                </c:pt>
                <c:pt idx="20">
                  <c:v>21. Arhitektūra un būvniecība</c:v>
                </c:pt>
                <c:pt idx="21">
                  <c:v>22. Lauksaimniecība, mežsaimniecība, zivsaimniecība, veterinārmedicīna un pārtikas higiēna</c:v>
                </c:pt>
                <c:pt idx="22">
                  <c:v>23. Veselības aprūpe</c:v>
                </c:pt>
                <c:pt idx="23">
                  <c:v>24. Sociālā labklājība</c:v>
                </c:pt>
                <c:pt idx="24">
                  <c:v>25. Viesnīcu un restorānu serviss, tūrisma un atpūtas organizācija</c:v>
                </c:pt>
                <c:pt idx="25">
                  <c:v>26. Transporta pakalpojumi</c:v>
                </c:pt>
                <c:pt idx="26">
                  <c:v>27. Vides aizsardzība</c:v>
                </c:pt>
                <c:pt idx="27">
                  <c:v>28. Iekšējā drošība un civilā aizsardzība</c:v>
                </c:pt>
                <c:pt idx="28">
                  <c:v>29. Militārā aizsardzība</c:v>
                </c:pt>
              </c:strCache>
            </c:strRef>
          </c:cat>
          <c:val>
            <c:numRef>
              <c:f>Sheet2!$C$3:$C$31</c:f>
              <c:numCache>
                <c:formatCode>General</c:formatCode>
                <c:ptCount val="29"/>
                <c:pt idx="0">
                  <c:v>18</c:v>
                </c:pt>
                <c:pt idx="1">
                  <c:v>10</c:v>
                </c:pt>
                <c:pt idx="2">
                  <c:v>0</c:v>
                </c:pt>
                <c:pt idx="3">
                  <c:v>6</c:v>
                </c:pt>
                <c:pt idx="4">
                  <c:v>7</c:v>
                </c:pt>
                <c:pt idx="5">
                  <c:v>5</c:v>
                </c:pt>
                <c:pt idx="6">
                  <c:v>8</c:v>
                </c:pt>
                <c:pt idx="7">
                  <c:v>10</c:v>
                </c:pt>
                <c:pt idx="8">
                  <c:v>24</c:v>
                </c:pt>
                <c:pt idx="9">
                  <c:v>4</c:v>
                </c:pt>
                <c:pt idx="10">
                  <c:v>34</c:v>
                </c:pt>
                <c:pt idx="11">
                  <c:v>10</c:v>
                </c:pt>
                <c:pt idx="12">
                  <c:v>1</c:v>
                </c:pt>
                <c:pt idx="13">
                  <c:v>2</c:v>
                </c:pt>
                <c:pt idx="14">
                  <c:v>10</c:v>
                </c:pt>
                <c:pt idx="15">
                  <c:v>15</c:v>
                </c:pt>
                <c:pt idx="16">
                  <c:v>18</c:v>
                </c:pt>
                <c:pt idx="17">
                  <c:v>26</c:v>
                </c:pt>
                <c:pt idx="18">
                  <c:v>8</c:v>
                </c:pt>
                <c:pt idx="19">
                  <c:v>2</c:v>
                </c:pt>
                <c:pt idx="20">
                  <c:v>20</c:v>
                </c:pt>
                <c:pt idx="21">
                  <c:v>9</c:v>
                </c:pt>
                <c:pt idx="22">
                  <c:v>1</c:v>
                </c:pt>
                <c:pt idx="23">
                  <c:v>1</c:v>
                </c:pt>
                <c:pt idx="24">
                  <c:v>3</c:v>
                </c:pt>
                <c:pt idx="25">
                  <c:v>0</c:v>
                </c:pt>
                <c:pt idx="26">
                  <c:v>0</c:v>
                </c:pt>
                <c:pt idx="27">
                  <c:v>9</c:v>
                </c:pt>
                <c:pt idx="28">
                  <c:v>1</c:v>
                </c:pt>
              </c:numCache>
            </c:numRef>
          </c:val>
        </c:ser>
        <c:ser>
          <c:idx val="2"/>
          <c:order val="2"/>
          <c:tx>
            <c:strRef>
              <c:f>Sheet2!$D$2</c:f>
              <c:strCache>
                <c:ptCount val="1"/>
                <c:pt idx="0">
                  <c:v>C IZM</c:v>
                </c:pt>
              </c:strCache>
            </c:strRef>
          </c:tx>
          <c:spPr>
            <a:solidFill>
              <a:srgbClr val="FF0000"/>
            </a:solidFill>
          </c:spPr>
          <c:invertIfNegative val="0"/>
          <c:dLbls>
            <c:showLegendKey val="0"/>
            <c:showVal val="1"/>
            <c:showCatName val="0"/>
            <c:showSerName val="0"/>
            <c:showPercent val="0"/>
            <c:showBubbleSize val="0"/>
            <c:showLeaderLines val="0"/>
          </c:dLbls>
          <c:cat>
            <c:strRef>
              <c:f>Sheet2!$A$3:$A$31</c:f>
              <c:strCache>
                <c:ptCount val="29"/>
                <c:pt idx="0">
                  <c:v>1. Izglītība, pedagoģija un sports</c:v>
                </c:pt>
                <c:pt idx="1">
                  <c:v>2. Mākslas</c:v>
                </c:pt>
                <c:pt idx="2">
                  <c:v>3. Reliģija un teoloģija</c:v>
                </c:pt>
                <c:pt idx="3">
                  <c:v>4. Vēsture un filozofija</c:v>
                </c:pt>
                <c:pt idx="4">
                  <c:v>5. Valodu un kultūras studijas, dzimtās valodas studijas un valodu programmas</c:v>
                </c:pt>
                <c:pt idx="5">
                  <c:v>6. Tulkošana</c:v>
                </c:pt>
                <c:pt idx="6">
                  <c:v>7. Psiholoģija</c:v>
                </c:pt>
                <c:pt idx="7">
                  <c:v>8. Socioloģija, politoloģija un antropoloģija</c:v>
                </c:pt>
                <c:pt idx="8">
                  <c:v>9. Ekonomika</c:v>
                </c:pt>
                <c:pt idx="9">
                  <c:v>10. Informācijas un komunikācijas zinātnes</c:v>
                </c:pt>
                <c:pt idx="10">
                  <c:v>11. Vadība, administrēšana un nekustamo īpašumu pārvaldība</c:v>
                </c:pt>
                <c:pt idx="11">
                  <c:v>12. Tiesību zinātne</c:v>
                </c:pt>
                <c:pt idx="12">
                  <c:v>13. Dzīvās dabas zinātnes</c:v>
                </c:pt>
                <c:pt idx="13">
                  <c:v>14. Ģeogrāfijas un zemes zinātnes</c:v>
                </c:pt>
                <c:pt idx="14">
                  <c:v>15. Ķīmija, ķīmijas tehnoloģijas un biotehnoģija</c:v>
                </c:pt>
                <c:pt idx="15">
                  <c:v>16. Fizika, materiālzinātne, matemātika un statistika</c:v>
                </c:pt>
                <c:pt idx="16">
                  <c:v>17. Informācijas tehnoloģija, datortehnika, elektronika, telekomunikācijas, datorvadība un datorzinātne</c:v>
                </c:pt>
                <c:pt idx="17">
                  <c:v>18. Mehānika un metālapstrāde, siltumenerģētika, siltumtehnika un mašīnzinības</c:v>
                </c:pt>
                <c:pt idx="18">
                  <c:v>19. Enerģētika, elektrotehnika un elektrotehnoloģijas</c:v>
                </c:pt>
                <c:pt idx="19">
                  <c:v>20. Ražošana un pārstrāde</c:v>
                </c:pt>
                <c:pt idx="20">
                  <c:v>21. Arhitektūra un būvniecība</c:v>
                </c:pt>
                <c:pt idx="21">
                  <c:v>22. Lauksaimniecība, mežsaimniecība, zivsaimniecība, veterinārmedicīna un pārtikas higiēna</c:v>
                </c:pt>
                <c:pt idx="22">
                  <c:v>23. Veselības aprūpe</c:v>
                </c:pt>
                <c:pt idx="23">
                  <c:v>24. Sociālā labklājība</c:v>
                </c:pt>
                <c:pt idx="24">
                  <c:v>25. Viesnīcu un restorānu serviss, tūrisma un atpūtas organizācija</c:v>
                </c:pt>
                <c:pt idx="25">
                  <c:v>26. Transporta pakalpojumi</c:v>
                </c:pt>
                <c:pt idx="26">
                  <c:v>27. Vides aizsardzība</c:v>
                </c:pt>
                <c:pt idx="27">
                  <c:v>28. Iekšējā drošība un civilā aizsardzība</c:v>
                </c:pt>
                <c:pt idx="28">
                  <c:v>29. Militārā aizsardzība</c:v>
                </c:pt>
              </c:strCache>
            </c:strRef>
          </c:cat>
          <c:val>
            <c:numRef>
              <c:f>Sheet2!$D$3:$D$31</c:f>
              <c:numCache>
                <c:formatCode>General</c:formatCode>
                <c:ptCount val="29"/>
                <c:pt idx="0">
                  <c:v>16</c:v>
                </c:pt>
                <c:pt idx="1">
                  <c:v>11</c:v>
                </c:pt>
                <c:pt idx="2">
                  <c:v>0</c:v>
                </c:pt>
                <c:pt idx="3">
                  <c:v>5</c:v>
                </c:pt>
                <c:pt idx="4">
                  <c:v>0</c:v>
                </c:pt>
                <c:pt idx="5">
                  <c:v>6</c:v>
                </c:pt>
                <c:pt idx="6">
                  <c:v>7</c:v>
                </c:pt>
                <c:pt idx="7">
                  <c:v>2</c:v>
                </c:pt>
                <c:pt idx="8">
                  <c:v>13</c:v>
                </c:pt>
                <c:pt idx="9">
                  <c:v>3</c:v>
                </c:pt>
                <c:pt idx="10">
                  <c:v>57</c:v>
                </c:pt>
                <c:pt idx="11">
                  <c:v>6</c:v>
                </c:pt>
                <c:pt idx="12">
                  <c:v>0</c:v>
                </c:pt>
                <c:pt idx="13">
                  <c:v>4</c:v>
                </c:pt>
                <c:pt idx="14">
                  <c:v>0</c:v>
                </c:pt>
                <c:pt idx="15">
                  <c:v>0</c:v>
                </c:pt>
                <c:pt idx="16">
                  <c:v>2</c:v>
                </c:pt>
                <c:pt idx="17">
                  <c:v>6</c:v>
                </c:pt>
                <c:pt idx="18">
                  <c:v>9</c:v>
                </c:pt>
                <c:pt idx="19">
                  <c:v>1</c:v>
                </c:pt>
                <c:pt idx="20">
                  <c:v>10</c:v>
                </c:pt>
                <c:pt idx="21">
                  <c:v>0</c:v>
                </c:pt>
                <c:pt idx="22">
                  <c:v>1</c:v>
                </c:pt>
                <c:pt idx="23">
                  <c:v>2</c:v>
                </c:pt>
                <c:pt idx="24">
                  <c:v>7</c:v>
                </c:pt>
                <c:pt idx="25">
                  <c:v>8</c:v>
                </c:pt>
                <c:pt idx="26">
                  <c:v>5</c:v>
                </c:pt>
                <c:pt idx="27">
                  <c:v>2</c:v>
                </c:pt>
                <c:pt idx="28">
                  <c:v>0</c:v>
                </c:pt>
              </c:numCache>
            </c:numRef>
          </c:val>
        </c:ser>
        <c:dLbls>
          <c:showLegendKey val="0"/>
          <c:showVal val="0"/>
          <c:showCatName val="0"/>
          <c:showSerName val="0"/>
          <c:showPercent val="0"/>
          <c:showBubbleSize val="0"/>
        </c:dLbls>
        <c:gapWidth val="150"/>
        <c:overlap val="100"/>
        <c:axId val="157416960"/>
        <c:axId val="155408000"/>
      </c:barChart>
      <c:catAx>
        <c:axId val="157416960"/>
        <c:scaling>
          <c:orientation val="minMax"/>
        </c:scaling>
        <c:delete val="0"/>
        <c:axPos val="b"/>
        <c:majorTickMark val="out"/>
        <c:minorTickMark val="none"/>
        <c:tickLblPos val="nextTo"/>
        <c:txPr>
          <a:bodyPr rot="-5400000" vert="horz" anchor="ctr" anchorCtr="0"/>
          <a:lstStyle/>
          <a:p>
            <a:pPr>
              <a:defRPr/>
            </a:pPr>
            <a:endParaRPr lang="lv-LV"/>
          </a:p>
        </c:txPr>
        <c:crossAx val="155408000"/>
        <c:crosses val="autoZero"/>
        <c:auto val="1"/>
        <c:lblAlgn val="ctr"/>
        <c:lblOffset val="100"/>
        <c:noMultiLvlLbl val="0"/>
      </c:catAx>
      <c:valAx>
        <c:axId val="155408000"/>
        <c:scaling>
          <c:orientation val="minMax"/>
        </c:scaling>
        <c:delete val="0"/>
        <c:axPos val="l"/>
        <c:majorGridlines/>
        <c:numFmt formatCode="0%" sourceLinked="1"/>
        <c:majorTickMark val="out"/>
        <c:minorTickMark val="none"/>
        <c:tickLblPos val="nextTo"/>
        <c:crossAx val="1574169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86DDC-5097-423F-BC23-4C057C10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11725</Words>
  <Characters>6684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isture</dc:creator>
  <cp:lastModifiedBy>reinistukiss</cp:lastModifiedBy>
  <cp:revision>3</cp:revision>
  <cp:lastPrinted>2012-11-07T05:27:00Z</cp:lastPrinted>
  <dcterms:created xsi:type="dcterms:W3CDTF">2012-11-12T08:20:00Z</dcterms:created>
  <dcterms:modified xsi:type="dcterms:W3CDTF">2012-11-12T08:25:00Z</dcterms:modified>
</cp:coreProperties>
</file>